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DD6C" w14:textId="77777777" w:rsidR="00C51153" w:rsidRDefault="00C51153" w:rsidP="007C20F4">
      <w:pPr>
        <w:pStyle w:val="CommentText"/>
        <w:ind w:right="386" w:firstLine="540"/>
        <w:jc w:val="both"/>
      </w:pPr>
    </w:p>
    <w:p w14:paraId="0BC62DD0" w14:textId="77777777" w:rsidR="00F23542" w:rsidRDefault="00F23542" w:rsidP="007C20F4">
      <w:pPr>
        <w:pStyle w:val="CommentText"/>
        <w:ind w:right="386" w:firstLine="540"/>
        <w:jc w:val="both"/>
      </w:pPr>
    </w:p>
    <w:p w14:paraId="4CD8332B" w14:textId="77777777" w:rsidR="00C51153" w:rsidRDefault="00C51153" w:rsidP="007C20F4">
      <w:pPr>
        <w:pStyle w:val="CommentText"/>
        <w:ind w:right="386" w:firstLine="540"/>
        <w:jc w:val="both"/>
      </w:pPr>
    </w:p>
    <w:p w14:paraId="1D2FD1B7" w14:textId="77777777" w:rsidR="00C51153" w:rsidRDefault="00C51153" w:rsidP="007C20F4">
      <w:pPr>
        <w:pStyle w:val="CommentText"/>
        <w:ind w:right="386" w:firstLine="540"/>
        <w:jc w:val="both"/>
      </w:pPr>
    </w:p>
    <w:p w14:paraId="4E8D0BD5" w14:textId="77777777" w:rsidR="00C51153" w:rsidRDefault="00C51153" w:rsidP="007C20F4">
      <w:pPr>
        <w:pStyle w:val="CommentText"/>
        <w:ind w:right="386" w:firstLine="540"/>
        <w:jc w:val="both"/>
      </w:pPr>
    </w:p>
    <w:p w14:paraId="140BC69E" w14:textId="77777777" w:rsidR="00C51153" w:rsidRDefault="00C51153" w:rsidP="007C20F4">
      <w:pPr>
        <w:pStyle w:val="CommentText"/>
        <w:ind w:right="386" w:firstLine="540"/>
        <w:jc w:val="both"/>
      </w:pPr>
    </w:p>
    <w:p w14:paraId="22CF65E1" w14:textId="033C2B2F" w:rsidR="00F4367A" w:rsidRPr="00FC3A80" w:rsidRDefault="00C973D6" w:rsidP="007C20F4">
      <w:pPr>
        <w:pStyle w:val="CommentText"/>
        <w:ind w:right="386" w:firstLine="540"/>
        <w:jc w:val="both"/>
      </w:pPr>
      <w:r w:rsidRPr="00FC3A80">
        <w:rPr>
          <w:noProof/>
          <w:lang w:eastAsia="en-GB"/>
        </w:rPr>
        <mc:AlternateContent>
          <mc:Choice Requires="wps">
            <w:drawing>
              <wp:anchor distT="0" distB="0" distL="114300" distR="114300" simplePos="0" relativeHeight="251657728" behindDoc="0" locked="0" layoutInCell="1" allowOverlap="1" wp14:anchorId="69ECA6B2" wp14:editId="3F56E280">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DB285" w14:textId="34C29DCA" w:rsidR="009172F5" w:rsidRDefault="009172F5">
                            <w:r>
                              <w:rPr>
                                <w:noProof/>
                                <w:lang w:eastAsia="en-GB"/>
                              </w:rPr>
                              <w:drawing>
                                <wp:inline distT="0" distB="0" distL="0" distR="0" wp14:anchorId="7702F7D8" wp14:editId="6B1F8F20">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14:paraId="71EDB285" w14:textId="34C29DCA" w:rsidR="009172F5" w:rsidRDefault="009172F5">
                      <w:r>
                        <w:rPr>
                          <w:noProof/>
                          <w:lang w:eastAsia="en-GB"/>
                        </w:rPr>
                        <w:drawing>
                          <wp:inline distT="0" distB="0" distL="0" distR="0" wp14:anchorId="7702F7D8" wp14:editId="6B1F8F20">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v:textbox>
              </v:shape>
            </w:pict>
          </mc:Fallback>
        </mc:AlternateContent>
      </w:r>
      <w:r w:rsidR="00F4367A" w:rsidRPr="00FC3A80">
        <w:t xml:space="preserve">                                                                              </w:t>
      </w:r>
    </w:p>
    <w:p w14:paraId="09843159" w14:textId="77777777" w:rsidR="00F4367A" w:rsidRPr="00FC3A80" w:rsidRDefault="00F4367A" w:rsidP="007C20F4">
      <w:pPr>
        <w:ind w:right="386" w:firstLine="540"/>
        <w:jc w:val="both"/>
        <w:rPr>
          <w:b/>
          <w:bCs/>
          <w:sz w:val="22"/>
          <w:szCs w:val="22"/>
        </w:rPr>
      </w:pPr>
    </w:p>
    <w:p w14:paraId="2F65D72F" w14:textId="77777777" w:rsidR="00F4367A" w:rsidRPr="0097022F" w:rsidRDefault="00F4367A" w:rsidP="00942056">
      <w:pPr>
        <w:tabs>
          <w:tab w:val="left" w:pos="2160"/>
        </w:tabs>
        <w:ind w:right="386"/>
        <w:jc w:val="both"/>
        <w:rPr>
          <w:rFonts w:cs="Arial"/>
          <w:b/>
          <w:bCs/>
        </w:rPr>
      </w:pPr>
      <w:r w:rsidRPr="0097022F">
        <w:rPr>
          <w:rFonts w:cs="Arial"/>
          <w:b/>
          <w:bCs/>
        </w:rPr>
        <w:t xml:space="preserve">To: </w:t>
      </w:r>
      <w:r w:rsidR="00942056">
        <w:rPr>
          <w:rFonts w:cs="Arial"/>
          <w:b/>
          <w:bCs/>
        </w:rPr>
        <w:tab/>
      </w:r>
      <w:r w:rsidRPr="0097022F">
        <w:rPr>
          <w:rFonts w:cs="Arial"/>
          <w:b/>
          <w:bCs/>
        </w:rPr>
        <w:t>City Executive Board</w:t>
      </w:r>
      <w:r w:rsidRPr="0097022F">
        <w:rPr>
          <w:rFonts w:cs="Arial"/>
          <w:b/>
          <w:bCs/>
        </w:rPr>
        <w:tab/>
      </w:r>
      <w:r w:rsidR="00956EB9" w:rsidRPr="0097022F">
        <w:rPr>
          <w:rFonts w:cs="Arial"/>
          <w:b/>
          <w:bCs/>
        </w:rPr>
        <w:t xml:space="preserve"> </w:t>
      </w:r>
      <w:r w:rsidRPr="0097022F">
        <w:rPr>
          <w:rFonts w:cs="Arial"/>
          <w:b/>
          <w:bCs/>
        </w:rPr>
        <w:tab/>
      </w:r>
      <w:r w:rsidRPr="0097022F">
        <w:rPr>
          <w:rFonts w:cs="Arial"/>
          <w:b/>
          <w:bCs/>
        </w:rPr>
        <w:tab/>
      </w:r>
      <w:r w:rsidRPr="0097022F">
        <w:rPr>
          <w:rFonts w:cs="Arial"/>
          <w:b/>
          <w:bCs/>
        </w:rPr>
        <w:tab/>
      </w:r>
    </w:p>
    <w:p w14:paraId="70FCF439" w14:textId="77777777" w:rsidR="00F4367A" w:rsidRPr="0097022F" w:rsidRDefault="00F4367A" w:rsidP="00942056">
      <w:pPr>
        <w:ind w:right="386"/>
        <w:jc w:val="both"/>
        <w:rPr>
          <w:rFonts w:cs="Arial"/>
          <w:b/>
          <w:bCs/>
        </w:rPr>
      </w:pPr>
    </w:p>
    <w:p w14:paraId="333219DB" w14:textId="6A89A052" w:rsidR="00956EB9" w:rsidRPr="0097022F" w:rsidRDefault="00F4367A" w:rsidP="00942056">
      <w:pPr>
        <w:tabs>
          <w:tab w:val="left" w:pos="2127"/>
          <w:tab w:val="left" w:pos="6300"/>
          <w:tab w:val="left" w:pos="7380"/>
        </w:tabs>
        <w:ind w:right="386"/>
        <w:jc w:val="both"/>
        <w:rPr>
          <w:rFonts w:cs="Arial"/>
          <w:b/>
          <w:bCs/>
        </w:rPr>
      </w:pPr>
      <w:r w:rsidRPr="0097022F">
        <w:rPr>
          <w:rFonts w:cs="Arial"/>
          <w:b/>
          <w:bCs/>
        </w:rPr>
        <w:t>Date:</w:t>
      </w:r>
      <w:r w:rsidRPr="0097022F">
        <w:rPr>
          <w:rFonts w:cs="Arial"/>
          <w:b/>
          <w:bCs/>
        </w:rPr>
        <w:tab/>
      </w:r>
      <w:r w:rsidR="002A3493">
        <w:rPr>
          <w:rFonts w:cs="Arial"/>
          <w:b/>
          <w:bCs/>
        </w:rPr>
        <w:t>1</w:t>
      </w:r>
      <w:r w:rsidR="0046266D">
        <w:rPr>
          <w:rFonts w:cs="Arial"/>
          <w:b/>
          <w:bCs/>
        </w:rPr>
        <w:t>7</w:t>
      </w:r>
      <w:r w:rsidR="00FB14CD" w:rsidRPr="0097022F">
        <w:rPr>
          <w:rFonts w:cs="Arial"/>
          <w:b/>
          <w:bCs/>
        </w:rPr>
        <w:t xml:space="preserve"> December 201</w:t>
      </w:r>
      <w:r w:rsidR="002C2483">
        <w:rPr>
          <w:rFonts w:cs="Arial"/>
          <w:b/>
          <w:bCs/>
        </w:rPr>
        <w:t>6</w:t>
      </w:r>
    </w:p>
    <w:p w14:paraId="2416B6CF" w14:textId="77777777" w:rsidR="00BC40F5" w:rsidRPr="0097022F" w:rsidRDefault="00FD359F" w:rsidP="00942056">
      <w:pPr>
        <w:tabs>
          <w:tab w:val="left" w:pos="2160"/>
          <w:tab w:val="left" w:pos="6300"/>
          <w:tab w:val="left" w:pos="7380"/>
        </w:tabs>
        <w:ind w:right="386"/>
        <w:jc w:val="both"/>
        <w:rPr>
          <w:rFonts w:cs="Arial"/>
          <w:b/>
          <w:bCs/>
        </w:rPr>
      </w:pPr>
      <w:r>
        <w:rPr>
          <w:rFonts w:cs="Arial"/>
          <w:b/>
          <w:bCs/>
        </w:rPr>
        <w:t xml:space="preserve">   </w:t>
      </w:r>
    </w:p>
    <w:p w14:paraId="06D893A4" w14:textId="77777777" w:rsidR="00F4367A" w:rsidRPr="0097022F" w:rsidRDefault="00F4367A" w:rsidP="00942056">
      <w:pPr>
        <w:ind w:right="386"/>
        <w:jc w:val="both"/>
        <w:rPr>
          <w:rFonts w:cs="Arial"/>
          <w:b/>
          <w:bCs/>
        </w:rPr>
      </w:pPr>
      <w:r w:rsidRPr="0097022F">
        <w:rPr>
          <w:rFonts w:cs="Arial"/>
          <w:b/>
          <w:bCs/>
        </w:rPr>
        <w:t>Report of:</w:t>
      </w:r>
      <w:r w:rsidRPr="0097022F">
        <w:rPr>
          <w:rFonts w:cs="Arial"/>
          <w:b/>
          <w:bCs/>
        </w:rPr>
        <w:tab/>
      </w:r>
      <w:r w:rsidR="00F06FC6">
        <w:rPr>
          <w:rFonts w:cs="Arial"/>
          <w:b/>
          <w:bCs/>
        </w:rPr>
        <w:tab/>
      </w:r>
      <w:r w:rsidR="005501CA">
        <w:rPr>
          <w:rFonts w:cs="Arial"/>
          <w:b/>
          <w:bCs/>
        </w:rPr>
        <w:t xml:space="preserve">Head of Financial </w:t>
      </w:r>
      <w:r w:rsidR="009106CA">
        <w:rPr>
          <w:rFonts w:cs="Arial"/>
          <w:b/>
          <w:bCs/>
        </w:rPr>
        <w:t>Services</w:t>
      </w:r>
    </w:p>
    <w:p w14:paraId="3DA4BCBE" w14:textId="77777777" w:rsidR="00F4367A" w:rsidRPr="0097022F" w:rsidRDefault="00F4367A" w:rsidP="00942056">
      <w:pPr>
        <w:tabs>
          <w:tab w:val="left" w:pos="2160"/>
        </w:tabs>
        <w:ind w:right="386"/>
        <w:jc w:val="both"/>
        <w:rPr>
          <w:rFonts w:cs="Arial"/>
          <w:b/>
          <w:bCs/>
        </w:rPr>
      </w:pPr>
    </w:p>
    <w:p w14:paraId="73E98768" w14:textId="77777777" w:rsidR="00F4367A" w:rsidRPr="0097022F" w:rsidRDefault="00F4367A" w:rsidP="00942056">
      <w:pPr>
        <w:tabs>
          <w:tab w:val="left" w:pos="2160"/>
        </w:tabs>
        <w:ind w:left="2127" w:right="386" w:hanging="2127"/>
        <w:jc w:val="both"/>
        <w:rPr>
          <w:rFonts w:cs="Arial"/>
          <w:b/>
          <w:bCs/>
        </w:rPr>
      </w:pPr>
      <w:r w:rsidRPr="0097022F">
        <w:rPr>
          <w:rFonts w:cs="Arial"/>
          <w:b/>
          <w:bCs/>
        </w:rPr>
        <w:t xml:space="preserve">Title of Report: </w:t>
      </w:r>
      <w:r w:rsidRPr="0097022F">
        <w:rPr>
          <w:rFonts w:cs="Arial"/>
          <w:b/>
          <w:bCs/>
        </w:rPr>
        <w:tab/>
      </w:r>
      <w:r w:rsidR="00E0139B" w:rsidRPr="0097022F">
        <w:rPr>
          <w:rFonts w:cs="Arial"/>
          <w:b/>
          <w:bCs/>
        </w:rPr>
        <w:t xml:space="preserve">Medium Term Financial Strategy </w:t>
      </w:r>
      <w:r w:rsidR="00E9541D" w:rsidRPr="0097022F">
        <w:rPr>
          <w:rFonts w:cs="Arial"/>
          <w:b/>
          <w:bCs/>
        </w:rPr>
        <w:t>201</w:t>
      </w:r>
      <w:r w:rsidR="00C37395">
        <w:rPr>
          <w:rFonts w:cs="Arial"/>
          <w:b/>
          <w:bCs/>
        </w:rPr>
        <w:t>8</w:t>
      </w:r>
      <w:r w:rsidR="00DB1309">
        <w:rPr>
          <w:rFonts w:cs="Arial"/>
          <w:b/>
          <w:bCs/>
        </w:rPr>
        <w:t>-</w:t>
      </w:r>
      <w:r w:rsidR="002C2483">
        <w:rPr>
          <w:rFonts w:cs="Arial"/>
          <w:b/>
          <w:bCs/>
        </w:rPr>
        <w:t>1</w:t>
      </w:r>
      <w:r w:rsidR="00ED6871">
        <w:rPr>
          <w:rFonts w:cs="Arial"/>
          <w:b/>
          <w:bCs/>
        </w:rPr>
        <w:t>9</w:t>
      </w:r>
      <w:r w:rsidR="00E9541D" w:rsidRPr="0097022F">
        <w:rPr>
          <w:rFonts w:cs="Arial"/>
          <w:b/>
          <w:bCs/>
        </w:rPr>
        <w:t xml:space="preserve"> </w:t>
      </w:r>
      <w:r w:rsidR="00C37395">
        <w:rPr>
          <w:rFonts w:cs="Arial"/>
          <w:b/>
          <w:bCs/>
        </w:rPr>
        <w:t>to 2020</w:t>
      </w:r>
      <w:r w:rsidR="00ED6871">
        <w:rPr>
          <w:rFonts w:cs="Arial"/>
          <w:b/>
          <w:bCs/>
        </w:rPr>
        <w:t>-</w:t>
      </w:r>
      <w:r w:rsidR="00C37395">
        <w:rPr>
          <w:rFonts w:cs="Arial"/>
          <w:b/>
          <w:bCs/>
        </w:rPr>
        <w:t>21</w:t>
      </w:r>
      <w:r w:rsidR="00E0139B" w:rsidRPr="0097022F">
        <w:rPr>
          <w:rFonts w:cs="Arial"/>
          <w:b/>
          <w:bCs/>
        </w:rPr>
        <w:t xml:space="preserve">and </w:t>
      </w:r>
      <w:r w:rsidR="00E9541D" w:rsidRPr="0097022F">
        <w:rPr>
          <w:rFonts w:cs="Arial"/>
          <w:b/>
          <w:bCs/>
        </w:rPr>
        <w:t>201</w:t>
      </w:r>
      <w:r w:rsidR="00C37395">
        <w:rPr>
          <w:rFonts w:cs="Arial"/>
          <w:b/>
          <w:bCs/>
        </w:rPr>
        <w:t>7</w:t>
      </w:r>
      <w:r w:rsidR="00E9541D" w:rsidRPr="0097022F">
        <w:rPr>
          <w:rFonts w:cs="Arial"/>
          <w:b/>
          <w:bCs/>
        </w:rPr>
        <w:t>-1</w:t>
      </w:r>
      <w:r w:rsidR="00C37395">
        <w:rPr>
          <w:rFonts w:cs="Arial"/>
          <w:b/>
          <w:bCs/>
        </w:rPr>
        <w:t>8</w:t>
      </w:r>
      <w:r w:rsidR="00E9541D" w:rsidRPr="0097022F">
        <w:rPr>
          <w:rFonts w:cs="Arial"/>
          <w:b/>
          <w:bCs/>
        </w:rPr>
        <w:t xml:space="preserve"> </w:t>
      </w:r>
      <w:r w:rsidR="00E0139B" w:rsidRPr="0097022F">
        <w:rPr>
          <w:rFonts w:cs="Arial"/>
          <w:b/>
          <w:bCs/>
        </w:rPr>
        <w:t xml:space="preserve">Budget for </w:t>
      </w:r>
      <w:r w:rsidR="00AA3E93" w:rsidRPr="0097022F">
        <w:rPr>
          <w:rFonts w:cs="Arial"/>
          <w:b/>
          <w:bCs/>
        </w:rPr>
        <w:t>Consultation</w:t>
      </w:r>
      <w:r w:rsidR="00FD0234">
        <w:rPr>
          <w:rFonts w:cs="Arial"/>
          <w:b/>
          <w:bCs/>
        </w:rPr>
        <w:t>.</w:t>
      </w:r>
      <w:r w:rsidRPr="0097022F">
        <w:rPr>
          <w:rFonts w:cs="Arial"/>
          <w:b/>
          <w:bCs/>
        </w:rPr>
        <w:tab/>
      </w:r>
    </w:p>
    <w:p w14:paraId="60FC9E6F" w14:textId="77777777" w:rsidR="00F4367A" w:rsidRPr="00FC3A80" w:rsidRDefault="00F4367A" w:rsidP="003A37E1">
      <w:pPr>
        <w:pStyle w:val="Heading1"/>
        <w:ind w:right="386" w:firstLine="540"/>
        <w:jc w:val="both"/>
        <w:rPr>
          <w:sz w:val="22"/>
          <w:szCs w:val="22"/>
          <w:u w:val="single"/>
        </w:rPr>
      </w:pPr>
    </w:p>
    <w:p w14:paraId="5656F9B1"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center"/>
        <w:rPr>
          <w:u w:val="single"/>
        </w:rPr>
      </w:pPr>
      <w:r w:rsidRPr="0097022F">
        <w:rPr>
          <w:u w:val="single"/>
        </w:rPr>
        <w:t>Summary and Recommendations</w:t>
      </w:r>
    </w:p>
    <w:p w14:paraId="61B5CE52"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14:paraId="16B90385"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r w:rsidRPr="0097022F">
        <w:rPr>
          <w:rFonts w:cs="Arial"/>
          <w:b/>
          <w:bCs/>
        </w:rPr>
        <w:t>Purpose of report</w:t>
      </w:r>
      <w:r w:rsidRPr="0097022F">
        <w:rPr>
          <w:rFonts w:cs="Arial"/>
        </w:rPr>
        <w:t xml:space="preserve">:  </w:t>
      </w:r>
      <w:r w:rsidR="00792A7B">
        <w:rPr>
          <w:rFonts w:cs="Arial"/>
        </w:rPr>
        <w:t>To propose a Medium Term Financial Strategy and</w:t>
      </w:r>
      <w:r w:rsidR="00942056">
        <w:rPr>
          <w:rFonts w:cs="Arial"/>
        </w:rPr>
        <w:t xml:space="preserve"> </w:t>
      </w:r>
      <w:r w:rsidR="00556EE7">
        <w:rPr>
          <w:rFonts w:cs="Arial"/>
        </w:rPr>
        <w:t>the</w:t>
      </w:r>
      <w:r w:rsidR="00166E93">
        <w:rPr>
          <w:rFonts w:cs="Arial"/>
        </w:rPr>
        <w:t xml:space="preserve"> </w:t>
      </w:r>
      <w:r w:rsidR="00DB1309">
        <w:rPr>
          <w:rFonts w:cs="Arial"/>
        </w:rPr>
        <w:t>201</w:t>
      </w:r>
      <w:r w:rsidR="002C2483">
        <w:rPr>
          <w:rFonts w:cs="Arial"/>
        </w:rPr>
        <w:t>7</w:t>
      </w:r>
      <w:r w:rsidR="00792A7B">
        <w:rPr>
          <w:rFonts w:cs="Arial"/>
        </w:rPr>
        <w:t>/1</w:t>
      </w:r>
      <w:r w:rsidR="002C2483">
        <w:rPr>
          <w:rFonts w:cs="Arial"/>
        </w:rPr>
        <w:t>8</w:t>
      </w:r>
      <w:r w:rsidR="00792A7B">
        <w:rPr>
          <w:rFonts w:cs="Arial"/>
        </w:rPr>
        <w:t xml:space="preserve"> Budget for consultation</w:t>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p>
    <w:p w14:paraId="52C8D617" w14:textId="77777777" w:rsidR="00166E93" w:rsidRDefault="00166E93"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Cs w:val="0"/>
        </w:rPr>
      </w:pPr>
    </w:p>
    <w:p w14:paraId="7DCA02D9" w14:textId="31638D54" w:rsidR="00F4367A" w:rsidRPr="0097022F" w:rsidRDefault="00F4367A"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 w:val="0"/>
          <w:bCs w:val="0"/>
        </w:rPr>
      </w:pPr>
      <w:r w:rsidRPr="0097022F">
        <w:rPr>
          <w:bCs w:val="0"/>
        </w:rPr>
        <w:t>Key decision</w:t>
      </w:r>
      <w:r w:rsidR="009172F5">
        <w:rPr>
          <w:bCs w:val="0"/>
        </w:rPr>
        <w:t>:</w:t>
      </w:r>
      <w:r w:rsidRPr="0097022F">
        <w:rPr>
          <w:bCs w:val="0"/>
        </w:rPr>
        <w:t xml:space="preserve"> </w:t>
      </w:r>
      <w:r w:rsidR="00E0139B" w:rsidRPr="0097022F">
        <w:rPr>
          <w:bCs w:val="0"/>
        </w:rPr>
        <w:t xml:space="preserve"> </w:t>
      </w:r>
      <w:r w:rsidR="003771FD" w:rsidRPr="0097022F">
        <w:rPr>
          <w:b w:val="0"/>
          <w:bCs w:val="0"/>
        </w:rPr>
        <w:t>Yes</w:t>
      </w:r>
    </w:p>
    <w:p w14:paraId="49DC3E82"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14:paraId="2156EED9" w14:textId="1748AA74"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Executive lead member: </w:t>
      </w:r>
      <w:r w:rsidR="00E0139B" w:rsidRPr="0097022F">
        <w:rPr>
          <w:rFonts w:cs="Arial"/>
          <w:bCs/>
        </w:rPr>
        <w:t>C</w:t>
      </w:r>
      <w:r w:rsidR="009172F5">
        <w:rPr>
          <w:rFonts w:cs="Arial"/>
          <w:bCs/>
        </w:rPr>
        <w:t>llr</w:t>
      </w:r>
      <w:r w:rsidR="00E0139B" w:rsidRPr="0097022F">
        <w:rPr>
          <w:rFonts w:cs="Arial"/>
          <w:bCs/>
        </w:rPr>
        <w:t xml:space="preserve"> Ed Turner</w:t>
      </w:r>
      <w:r w:rsidR="007E356F">
        <w:rPr>
          <w:rFonts w:cs="Arial"/>
          <w:bCs/>
        </w:rPr>
        <w:t xml:space="preserve">, </w:t>
      </w:r>
      <w:r w:rsidR="009172F5">
        <w:rPr>
          <w:rFonts w:cs="Arial"/>
          <w:bCs/>
        </w:rPr>
        <w:t>Finance, Asset Management and Public Health</w:t>
      </w:r>
    </w:p>
    <w:p w14:paraId="1F15CAB5"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14:paraId="220E4D5C"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Policy Framework: </w:t>
      </w:r>
      <w:r w:rsidR="00E0139B" w:rsidRPr="0097022F">
        <w:rPr>
          <w:rFonts w:cs="Arial"/>
          <w:bCs/>
        </w:rPr>
        <w:t>The Council’s Corporate Plan</w:t>
      </w:r>
    </w:p>
    <w:p w14:paraId="19BA8077"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14:paraId="22DF17FE" w14:textId="12CD1FA6" w:rsidR="00B34AEA" w:rsidRDefault="009172F5"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b/>
        </w:rPr>
      </w:pPr>
      <w:r>
        <w:rPr>
          <w:rFonts w:cs="Arial"/>
          <w:b/>
        </w:rPr>
        <w:t>Recommendations</w:t>
      </w:r>
      <w:r w:rsidR="00F4367A" w:rsidRPr="0097022F">
        <w:rPr>
          <w:rFonts w:cs="Arial"/>
          <w:b/>
        </w:rPr>
        <w:t xml:space="preserve">: </w:t>
      </w:r>
      <w:r w:rsidR="00321358">
        <w:rPr>
          <w:rFonts w:cs="Arial"/>
        </w:rPr>
        <w:t>That the</w:t>
      </w:r>
      <w:r w:rsidR="00CD3973" w:rsidRPr="009172F5">
        <w:rPr>
          <w:rFonts w:cs="Arial"/>
        </w:rPr>
        <w:t xml:space="preserve"> City Executive Board re</w:t>
      </w:r>
      <w:r w:rsidR="00321358">
        <w:rPr>
          <w:rFonts w:cs="Arial"/>
        </w:rPr>
        <w:t>solves</w:t>
      </w:r>
      <w:r w:rsidR="00CD3973" w:rsidRPr="009172F5">
        <w:rPr>
          <w:rFonts w:cs="Arial"/>
        </w:rPr>
        <w:t xml:space="preserve"> to</w:t>
      </w:r>
      <w:r w:rsidR="00694162" w:rsidRPr="009172F5">
        <w:rPr>
          <w:rFonts w:cs="Arial"/>
        </w:rPr>
        <w:t>:</w:t>
      </w:r>
    </w:p>
    <w:p w14:paraId="63A83F0B" w14:textId="77777777" w:rsidR="00694162" w:rsidRDefault="00694162"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b/>
        </w:rPr>
      </w:pPr>
    </w:p>
    <w:p w14:paraId="488765AF" w14:textId="3F8CD4E7" w:rsidR="00942056" w:rsidRPr="00A71F9E" w:rsidRDefault="00A71F9E" w:rsidP="003F4A26">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sidRPr="007B3F5D">
        <w:rPr>
          <w:rFonts w:cs="Arial"/>
        </w:rPr>
        <w:t>1</w:t>
      </w:r>
      <w:r w:rsidR="00942056" w:rsidRPr="007B3F5D">
        <w:rPr>
          <w:rFonts w:cs="Arial"/>
        </w:rPr>
        <w:t>)</w:t>
      </w:r>
      <w:r w:rsidR="00942056">
        <w:rPr>
          <w:rFonts w:cs="Arial"/>
          <w:b/>
        </w:rPr>
        <w:t xml:space="preserve"> </w:t>
      </w:r>
      <w:r w:rsidR="003F4A26">
        <w:rPr>
          <w:rFonts w:cs="Arial"/>
          <w:b/>
        </w:rPr>
        <w:tab/>
      </w:r>
      <w:r w:rsidR="008E2808" w:rsidRPr="009172F5">
        <w:rPr>
          <w:rFonts w:cs="Arial"/>
          <w:b/>
        </w:rPr>
        <w:t>A</w:t>
      </w:r>
      <w:r w:rsidR="00942056" w:rsidRPr="009172F5">
        <w:rPr>
          <w:rFonts w:cs="Arial"/>
          <w:b/>
        </w:rPr>
        <w:t>pprove</w:t>
      </w:r>
      <w:r w:rsidR="00942056" w:rsidRPr="00A71F9E">
        <w:rPr>
          <w:rFonts w:cs="Arial"/>
        </w:rPr>
        <w:t xml:space="preserve"> the </w:t>
      </w:r>
      <w:r w:rsidR="00DB1309">
        <w:rPr>
          <w:rFonts w:cs="Arial"/>
        </w:rPr>
        <w:t>201</w:t>
      </w:r>
      <w:r w:rsidR="002C2483">
        <w:rPr>
          <w:rFonts w:cs="Arial"/>
        </w:rPr>
        <w:t>7</w:t>
      </w:r>
      <w:r w:rsidR="00DB1309">
        <w:rPr>
          <w:rFonts w:cs="Arial"/>
        </w:rPr>
        <w:t>-1</w:t>
      </w:r>
      <w:r w:rsidR="002C2483">
        <w:rPr>
          <w:rFonts w:cs="Arial"/>
        </w:rPr>
        <w:t>8</w:t>
      </w:r>
      <w:r w:rsidRPr="00A71F9E">
        <w:rPr>
          <w:rFonts w:cs="Arial"/>
        </w:rPr>
        <w:t xml:space="preserve"> </w:t>
      </w:r>
      <w:r w:rsidR="000D3814">
        <w:rPr>
          <w:rFonts w:cs="Arial"/>
        </w:rPr>
        <w:t xml:space="preserve">General Fund and Housing Revenue Account </w:t>
      </w:r>
      <w:r w:rsidRPr="00A71F9E">
        <w:rPr>
          <w:rFonts w:cs="Arial"/>
        </w:rPr>
        <w:t>budget</w:t>
      </w:r>
      <w:r w:rsidR="000D3814">
        <w:rPr>
          <w:rFonts w:cs="Arial"/>
        </w:rPr>
        <w:t>s</w:t>
      </w:r>
      <w:r w:rsidRPr="00A71F9E">
        <w:rPr>
          <w:rFonts w:cs="Arial"/>
        </w:rPr>
        <w:t xml:space="preserve"> for consultation</w:t>
      </w:r>
      <w:r w:rsidR="003B293A">
        <w:rPr>
          <w:rFonts w:cs="Arial"/>
        </w:rPr>
        <w:t xml:space="preserve"> and</w:t>
      </w:r>
      <w:r w:rsidRPr="00A71F9E">
        <w:rPr>
          <w:rFonts w:cs="Arial"/>
        </w:rPr>
        <w:t xml:space="preserve"> the </w:t>
      </w:r>
      <w:r w:rsidR="00942056" w:rsidRPr="00A71F9E">
        <w:rPr>
          <w:rFonts w:cs="Arial"/>
        </w:rPr>
        <w:t xml:space="preserve">General Fund and </w:t>
      </w:r>
      <w:r w:rsidR="00694162">
        <w:rPr>
          <w:rFonts w:cs="Arial"/>
        </w:rPr>
        <w:t xml:space="preserve"> </w:t>
      </w:r>
      <w:r w:rsidR="00942056" w:rsidRPr="00A71F9E">
        <w:rPr>
          <w:rFonts w:cs="Arial"/>
        </w:rPr>
        <w:t>H</w:t>
      </w:r>
      <w:r w:rsidR="00694162">
        <w:rPr>
          <w:rFonts w:cs="Arial"/>
        </w:rPr>
        <w:t xml:space="preserve">ousing </w:t>
      </w:r>
      <w:r w:rsidR="00942056" w:rsidRPr="00A71F9E">
        <w:rPr>
          <w:rFonts w:cs="Arial"/>
        </w:rPr>
        <w:t>R</w:t>
      </w:r>
      <w:r w:rsidR="00694162">
        <w:rPr>
          <w:rFonts w:cs="Arial"/>
        </w:rPr>
        <w:t xml:space="preserve">evenue Account </w:t>
      </w:r>
      <w:r w:rsidR="00942056" w:rsidRPr="00A71F9E">
        <w:rPr>
          <w:rFonts w:cs="Arial"/>
        </w:rPr>
        <w:t xml:space="preserve">Medium Term Financial Plan as </w:t>
      </w:r>
      <w:r w:rsidR="000D3814">
        <w:rPr>
          <w:rFonts w:cs="Arial"/>
        </w:rPr>
        <w:t xml:space="preserve">set out in </w:t>
      </w:r>
      <w:r w:rsidR="00942056" w:rsidRPr="00A71F9E">
        <w:rPr>
          <w:rFonts w:cs="Arial"/>
        </w:rPr>
        <w:t xml:space="preserve"> Appendices 1-</w:t>
      </w:r>
      <w:r w:rsidR="00D3287B">
        <w:rPr>
          <w:rFonts w:cs="Arial"/>
        </w:rPr>
        <w:t>9</w:t>
      </w:r>
      <w:r w:rsidR="00F05A6A">
        <w:rPr>
          <w:rFonts w:cs="Arial"/>
        </w:rPr>
        <w:t xml:space="preserve">, </w:t>
      </w:r>
      <w:r w:rsidR="00942056" w:rsidRPr="00A71F9E">
        <w:rPr>
          <w:rFonts w:cs="Arial"/>
        </w:rPr>
        <w:t xml:space="preserve">noting </w:t>
      </w:r>
      <w:r w:rsidR="00AC1E36">
        <w:rPr>
          <w:rFonts w:cs="Arial"/>
        </w:rPr>
        <w:t>:</w:t>
      </w:r>
      <w:r w:rsidR="00942056" w:rsidRPr="00A71F9E">
        <w:rPr>
          <w:rFonts w:cs="Arial"/>
        </w:rPr>
        <w:br/>
      </w:r>
    </w:p>
    <w:p w14:paraId="0D54B881" w14:textId="78C2A306" w:rsidR="00942056" w:rsidRDefault="00694162" w:rsidP="003F4A26">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 xml:space="preserve">      </w:t>
      </w:r>
      <w:r w:rsidR="003F4A26">
        <w:rPr>
          <w:rFonts w:cs="Arial"/>
        </w:rPr>
        <w:tab/>
      </w:r>
      <w:r w:rsidR="00942056" w:rsidRPr="00244A22">
        <w:rPr>
          <w:rFonts w:cs="Arial"/>
        </w:rPr>
        <w:t xml:space="preserve">a) </w:t>
      </w:r>
      <w:proofErr w:type="gramStart"/>
      <w:r w:rsidR="00942056" w:rsidRPr="00244A22">
        <w:rPr>
          <w:rFonts w:cs="Arial"/>
        </w:rPr>
        <w:t>the</w:t>
      </w:r>
      <w:proofErr w:type="gramEnd"/>
      <w:r w:rsidR="00942056" w:rsidRPr="00244A22">
        <w:rPr>
          <w:rFonts w:cs="Arial"/>
        </w:rPr>
        <w:t xml:space="preserve"> Council’s General Fund Budget Requirement of £</w:t>
      </w:r>
      <w:r w:rsidR="00244A22" w:rsidRPr="00244A22">
        <w:rPr>
          <w:rFonts w:cs="Arial"/>
        </w:rPr>
        <w:t>21.256</w:t>
      </w:r>
      <w:r w:rsidR="00942056" w:rsidRPr="00244A22">
        <w:rPr>
          <w:rFonts w:cs="Arial"/>
        </w:rPr>
        <w:t xml:space="preserve"> million for </w:t>
      </w:r>
      <w:r w:rsidR="003F4A26">
        <w:rPr>
          <w:rFonts w:cs="Arial"/>
        </w:rPr>
        <w:t xml:space="preserve">  </w:t>
      </w:r>
      <w:r w:rsidR="00942056" w:rsidRPr="00244A22">
        <w:rPr>
          <w:rFonts w:cs="Arial"/>
        </w:rPr>
        <w:t>201</w:t>
      </w:r>
      <w:r w:rsidR="00244A22" w:rsidRPr="00244A22">
        <w:rPr>
          <w:rFonts w:cs="Arial"/>
        </w:rPr>
        <w:t>7</w:t>
      </w:r>
      <w:r w:rsidR="00942056" w:rsidRPr="00244A22">
        <w:rPr>
          <w:rFonts w:cs="Arial"/>
        </w:rPr>
        <w:t>/1</w:t>
      </w:r>
      <w:r w:rsidR="00244A22" w:rsidRPr="00244A22">
        <w:rPr>
          <w:rFonts w:cs="Arial"/>
        </w:rPr>
        <w:t>8</w:t>
      </w:r>
      <w:r w:rsidR="003F4A26">
        <w:rPr>
          <w:rFonts w:cs="Arial"/>
        </w:rPr>
        <w:t xml:space="preserve"> </w:t>
      </w:r>
      <w:r w:rsidR="00942056" w:rsidRPr="00244A22">
        <w:rPr>
          <w:rFonts w:cs="Arial"/>
        </w:rPr>
        <w:t>and an increase in the Band D Council Tax of 1.</w:t>
      </w:r>
      <w:r w:rsidR="00A77B8D" w:rsidRPr="00244A22">
        <w:rPr>
          <w:rFonts w:cs="Arial"/>
        </w:rPr>
        <w:t>99</w:t>
      </w:r>
      <w:r w:rsidR="00942056" w:rsidRPr="00244A22">
        <w:rPr>
          <w:rFonts w:cs="Arial"/>
        </w:rPr>
        <w:t>% or £</w:t>
      </w:r>
      <w:r w:rsidR="00A77B8D" w:rsidRPr="00244A22">
        <w:rPr>
          <w:rFonts w:cs="Arial"/>
        </w:rPr>
        <w:t>5.</w:t>
      </w:r>
      <w:r w:rsidR="00C51153" w:rsidRPr="00244A22">
        <w:rPr>
          <w:rFonts w:cs="Arial"/>
        </w:rPr>
        <w:t>6</w:t>
      </w:r>
      <w:r w:rsidR="006A42B3">
        <w:rPr>
          <w:rFonts w:cs="Arial"/>
        </w:rPr>
        <w:t>7</w:t>
      </w:r>
      <w:r w:rsidR="00942056" w:rsidRPr="00244A22">
        <w:rPr>
          <w:rFonts w:cs="Arial"/>
        </w:rPr>
        <w:t xml:space="preserve"> per annum</w:t>
      </w:r>
      <w:r w:rsidR="003F4A26">
        <w:rPr>
          <w:rFonts w:cs="Arial"/>
        </w:rPr>
        <w:t xml:space="preserve"> </w:t>
      </w:r>
      <w:r w:rsidR="00942056" w:rsidRPr="00244A22">
        <w:rPr>
          <w:rFonts w:cs="Arial"/>
        </w:rPr>
        <w:t>representing a Band D Council Tax of</w:t>
      </w:r>
      <w:bookmarkStart w:id="0" w:name="_GoBack"/>
      <w:bookmarkEnd w:id="0"/>
      <w:r w:rsidR="00942056" w:rsidRPr="00244A22">
        <w:rPr>
          <w:rFonts w:cs="Arial"/>
        </w:rPr>
        <w:t xml:space="preserve"> £2</w:t>
      </w:r>
      <w:r w:rsidR="00C51153" w:rsidRPr="00244A22">
        <w:rPr>
          <w:rFonts w:cs="Arial"/>
        </w:rPr>
        <w:t>90</w:t>
      </w:r>
      <w:r w:rsidR="00A77B8D" w:rsidRPr="00244A22">
        <w:rPr>
          <w:rFonts w:cs="Arial"/>
        </w:rPr>
        <w:t>.</w:t>
      </w:r>
      <w:r w:rsidR="00C51153" w:rsidRPr="00244A22">
        <w:rPr>
          <w:rFonts w:cs="Arial"/>
        </w:rPr>
        <w:t>19</w:t>
      </w:r>
      <w:r w:rsidR="00942056" w:rsidRPr="00244A22">
        <w:rPr>
          <w:rFonts w:cs="Arial"/>
        </w:rPr>
        <w:t xml:space="preserve"> per annum</w:t>
      </w:r>
    </w:p>
    <w:p w14:paraId="0636DCBF" w14:textId="77777777" w:rsidR="00A71F9E" w:rsidRDefault="00A71F9E" w:rsidP="007B3F5D">
      <w:pPr>
        <w:pBdr>
          <w:top w:val="single" w:sz="4" w:space="1" w:color="auto"/>
          <w:left w:val="single" w:sz="4" w:space="0" w:color="auto"/>
          <w:bottom w:val="single" w:sz="4" w:space="1" w:color="auto"/>
          <w:right w:val="single" w:sz="4" w:space="4" w:color="auto"/>
        </w:pBdr>
        <w:tabs>
          <w:tab w:val="left" w:pos="3048"/>
        </w:tabs>
        <w:ind w:right="386"/>
        <w:rPr>
          <w:rFonts w:cs="Arial"/>
        </w:rPr>
      </w:pPr>
    </w:p>
    <w:p w14:paraId="01BF417D" w14:textId="2833027E" w:rsidR="001005F5" w:rsidRDefault="00694162" w:rsidP="003F4A26">
      <w:pPr>
        <w:pBdr>
          <w:top w:val="single" w:sz="4" w:space="1" w:color="auto"/>
          <w:left w:val="single" w:sz="4" w:space="0" w:color="auto"/>
          <w:bottom w:val="single" w:sz="4" w:space="1" w:color="auto"/>
          <w:right w:val="single" w:sz="4" w:space="4" w:color="auto"/>
        </w:pBdr>
        <w:tabs>
          <w:tab w:val="left" w:pos="851"/>
        </w:tabs>
        <w:ind w:left="1134" w:right="386" w:hanging="1134"/>
        <w:rPr>
          <w:rFonts w:cs="Arial"/>
        </w:rPr>
      </w:pPr>
      <w:r>
        <w:rPr>
          <w:rFonts w:cs="Arial"/>
        </w:rPr>
        <w:t xml:space="preserve">     </w:t>
      </w:r>
      <w:r w:rsidR="003F4A26">
        <w:rPr>
          <w:rFonts w:cs="Arial"/>
        </w:rPr>
        <w:tab/>
      </w:r>
      <w:r w:rsidR="0059228F">
        <w:rPr>
          <w:rFonts w:cs="Arial"/>
        </w:rPr>
        <w:t>b</w:t>
      </w:r>
      <w:r w:rsidR="00942056" w:rsidRPr="00244A22">
        <w:rPr>
          <w:rFonts w:cs="Arial"/>
        </w:rPr>
        <w:t xml:space="preserve">) </w:t>
      </w:r>
      <w:proofErr w:type="gramStart"/>
      <w:r w:rsidR="00942056" w:rsidRPr="00244A22">
        <w:rPr>
          <w:rFonts w:cs="Arial"/>
        </w:rPr>
        <w:t>the</w:t>
      </w:r>
      <w:proofErr w:type="gramEnd"/>
      <w:r w:rsidR="00942056" w:rsidRPr="00244A22">
        <w:rPr>
          <w:rFonts w:cs="Arial"/>
        </w:rPr>
        <w:t xml:space="preserve"> Housing Revenue Account budget for 201</w:t>
      </w:r>
      <w:r w:rsidR="00244A22" w:rsidRPr="00244A22">
        <w:rPr>
          <w:rFonts w:cs="Arial"/>
        </w:rPr>
        <w:t>7</w:t>
      </w:r>
      <w:r w:rsidR="00942056" w:rsidRPr="00244A22">
        <w:rPr>
          <w:rFonts w:cs="Arial"/>
        </w:rPr>
        <w:t>/1</w:t>
      </w:r>
      <w:r w:rsidR="00244A22" w:rsidRPr="00244A22">
        <w:rPr>
          <w:rFonts w:cs="Arial"/>
        </w:rPr>
        <w:t>8</w:t>
      </w:r>
      <w:r w:rsidR="00942056" w:rsidRPr="00244A22">
        <w:rPr>
          <w:rFonts w:cs="Arial"/>
        </w:rPr>
        <w:t xml:space="preserve"> </w:t>
      </w:r>
      <w:r w:rsidR="001005F5" w:rsidRPr="00244A22">
        <w:rPr>
          <w:rFonts w:cs="Arial"/>
        </w:rPr>
        <w:t>of £4</w:t>
      </w:r>
      <w:r w:rsidR="00244A22" w:rsidRPr="00244A22">
        <w:rPr>
          <w:rFonts w:cs="Arial"/>
        </w:rPr>
        <w:t>4</w:t>
      </w:r>
      <w:r w:rsidR="001005F5" w:rsidRPr="00244A22">
        <w:rPr>
          <w:rFonts w:cs="Arial"/>
        </w:rPr>
        <w:t>.</w:t>
      </w:r>
      <w:r w:rsidR="00244A22" w:rsidRPr="00244A22">
        <w:rPr>
          <w:rFonts w:cs="Arial"/>
        </w:rPr>
        <w:t>285</w:t>
      </w:r>
      <w:r w:rsidR="001005F5" w:rsidRPr="00244A22">
        <w:rPr>
          <w:rFonts w:cs="Arial"/>
        </w:rPr>
        <w:t xml:space="preserve"> million </w:t>
      </w:r>
      <w:r w:rsidR="00942056" w:rsidRPr="00244A22">
        <w:rPr>
          <w:rFonts w:cs="Arial"/>
        </w:rPr>
        <w:t xml:space="preserve">and a </w:t>
      </w:r>
      <w:r w:rsidR="005501CA" w:rsidRPr="00244A22">
        <w:rPr>
          <w:rFonts w:cs="Arial"/>
        </w:rPr>
        <w:t>reduction</w:t>
      </w:r>
      <w:r w:rsidR="00ED5CA8" w:rsidRPr="00244A22">
        <w:rPr>
          <w:rFonts w:cs="Arial"/>
        </w:rPr>
        <w:t xml:space="preserve"> of 1</w:t>
      </w:r>
      <w:r w:rsidR="00DE3FBB" w:rsidRPr="00244A22">
        <w:rPr>
          <w:rFonts w:cs="Arial"/>
        </w:rPr>
        <w:t>% (</w:t>
      </w:r>
      <w:r w:rsidR="00ED5CA8" w:rsidRPr="00244A22">
        <w:rPr>
          <w:rFonts w:cs="Arial"/>
        </w:rPr>
        <w:t>£1.06/</w:t>
      </w:r>
      <w:proofErr w:type="spellStart"/>
      <w:r w:rsidR="00ED5CA8" w:rsidRPr="00244A22">
        <w:rPr>
          <w:rFonts w:cs="Arial"/>
        </w:rPr>
        <w:t>wk</w:t>
      </w:r>
      <w:proofErr w:type="spellEnd"/>
      <w:r w:rsidR="00ED5CA8" w:rsidRPr="00244A22">
        <w:rPr>
          <w:rFonts w:cs="Arial"/>
        </w:rPr>
        <w:t xml:space="preserve">) in </w:t>
      </w:r>
      <w:r w:rsidR="001A7147" w:rsidRPr="00244A22">
        <w:rPr>
          <w:rFonts w:cs="Arial"/>
        </w:rPr>
        <w:t xml:space="preserve">social </w:t>
      </w:r>
      <w:r w:rsidR="00942056" w:rsidRPr="00244A22">
        <w:rPr>
          <w:rFonts w:cs="Arial"/>
        </w:rPr>
        <w:t>dwelling rent</w:t>
      </w:r>
      <w:r w:rsidR="001A7147" w:rsidRPr="00244A22">
        <w:rPr>
          <w:rFonts w:cs="Arial"/>
        </w:rPr>
        <w:t>s</w:t>
      </w:r>
      <w:r w:rsidR="00942056" w:rsidRPr="00244A22">
        <w:rPr>
          <w:rFonts w:cs="Arial"/>
        </w:rPr>
        <w:t xml:space="preserve"> </w:t>
      </w:r>
      <w:r w:rsidRPr="00244A22">
        <w:rPr>
          <w:rFonts w:cs="Arial"/>
        </w:rPr>
        <w:t>fr</w:t>
      </w:r>
      <w:r w:rsidR="005501CA" w:rsidRPr="00244A22">
        <w:rPr>
          <w:rFonts w:cs="Arial"/>
        </w:rPr>
        <w:t>om</w:t>
      </w:r>
      <w:r w:rsidRPr="00244A22">
        <w:rPr>
          <w:rFonts w:cs="Arial"/>
        </w:rPr>
        <w:t xml:space="preserve"> </w:t>
      </w:r>
      <w:r w:rsidR="00DE3FBB" w:rsidRPr="00244A22">
        <w:rPr>
          <w:rFonts w:cs="Arial"/>
        </w:rPr>
        <w:t>April 201</w:t>
      </w:r>
      <w:r w:rsidR="00244A22" w:rsidRPr="00244A22">
        <w:rPr>
          <w:rFonts w:cs="Arial"/>
        </w:rPr>
        <w:t>7</w:t>
      </w:r>
      <w:r w:rsidR="008E7C41" w:rsidRPr="00244A22">
        <w:rPr>
          <w:rFonts w:cs="Arial"/>
        </w:rPr>
        <w:t xml:space="preserve"> </w:t>
      </w:r>
      <w:r w:rsidR="008E2808" w:rsidRPr="00244A22">
        <w:rPr>
          <w:rFonts w:cs="Arial"/>
        </w:rPr>
        <w:t>giving</w:t>
      </w:r>
      <w:r w:rsidR="001A7147" w:rsidRPr="00244A22">
        <w:rPr>
          <w:rFonts w:cs="Arial"/>
        </w:rPr>
        <w:t xml:space="preserve"> a </w:t>
      </w:r>
      <w:r w:rsidR="00ED5CA8" w:rsidRPr="00244A22">
        <w:rPr>
          <w:rFonts w:cs="Arial"/>
        </w:rPr>
        <w:t xml:space="preserve">revised </w:t>
      </w:r>
      <w:r w:rsidR="001A7147" w:rsidRPr="00244A22">
        <w:rPr>
          <w:rFonts w:cs="Arial"/>
        </w:rPr>
        <w:t>weekly average social rent of £10</w:t>
      </w:r>
      <w:r w:rsidR="00244A22" w:rsidRPr="00244A22">
        <w:rPr>
          <w:rFonts w:cs="Arial"/>
        </w:rPr>
        <w:t>5</w:t>
      </w:r>
      <w:r w:rsidR="00942056" w:rsidRPr="00244A22">
        <w:rPr>
          <w:rFonts w:cs="Arial"/>
        </w:rPr>
        <w:t>.</w:t>
      </w:r>
      <w:r w:rsidR="00244A22" w:rsidRPr="00244A22">
        <w:rPr>
          <w:rFonts w:cs="Arial"/>
        </w:rPr>
        <w:t>65</w:t>
      </w:r>
      <w:r w:rsidR="00942056" w:rsidRPr="00244A22">
        <w:rPr>
          <w:rFonts w:cs="Arial"/>
        </w:rPr>
        <w:t xml:space="preserve"> as set out in Appendix</w:t>
      </w:r>
      <w:r w:rsidR="001005F5" w:rsidRPr="00244A22">
        <w:rPr>
          <w:rFonts w:cs="Arial"/>
        </w:rPr>
        <w:t xml:space="preserve"> </w:t>
      </w:r>
      <w:r w:rsidR="00E70508" w:rsidRPr="00244A22">
        <w:rPr>
          <w:rFonts w:cs="Arial"/>
        </w:rPr>
        <w:t>4</w:t>
      </w:r>
    </w:p>
    <w:p w14:paraId="2140116F" w14:textId="77777777" w:rsidR="00AC1E36" w:rsidRDefault="00AC1E36"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31E98B92" w14:textId="77777777" w:rsidR="00AC1E36" w:rsidRDefault="00AC1E36" w:rsidP="003F4A26">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ab/>
      </w:r>
      <w:r w:rsidR="0059228F">
        <w:rPr>
          <w:rFonts w:cs="Arial"/>
        </w:rPr>
        <w:t>c</w:t>
      </w:r>
      <w:r>
        <w:rPr>
          <w:rFonts w:cs="Arial"/>
        </w:rPr>
        <w:t>)</w:t>
      </w:r>
      <w:r w:rsidR="0059228F">
        <w:rPr>
          <w:rFonts w:cs="Arial"/>
        </w:rPr>
        <w:t xml:space="preserve"> </w:t>
      </w:r>
      <w:r>
        <w:rPr>
          <w:rFonts w:cs="Arial"/>
        </w:rPr>
        <w:t xml:space="preserve"> </w:t>
      </w:r>
      <w:proofErr w:type="gramStart"/>
      <w:r>
        <w:rPr>
          <w:rFonts w:cs="Arial"/>
        </w:rPr>
        <w:t>the</w:t>
      </w:r>
      <w:proofErr w:type="gramEnd"/>
      <w:r>
        <w:rPr>
          <w:rFonts w:cs="Arial"/>
        </w:rPr>
        <w:t xml:space="preserve"> General Fund</w:t>
      </w:r>
      <w:r w:rsidR="00556EE7">
        <w:rPr>
          <w:rFonts w:cs="Arial"/>
        </w:rPr>
        <w:t xml:space="preserve"> </w:t>
      </w:r>
      <w:r>
        <w:rPr>
          <w:rFonts w:cs="Arial"/>
        </w:rPr>
        <w:t>and Housing Revenue Account Capital Programme as shown i</w:t>
      </w:r>
      <w:r w:rsidR="0059228F">
        <w:rPr>
          <w:rFonts w:cs="Arial"/>
        </w:rPr>
        <w:t>n</w:t>
      </w:r>
      <w:r>
        <w:rPr>
          <w:rFonts w:cs="Arial"/>
        </w:rPr>
        <w:t xml:space="preserve"> Appendix </w:t>
      </w:r>
      <w:r w:rsidR="00E70508">
        <w:rPr>
          <w:rFonts w:cs="Arial"/>
        </w:rPr>
        <w:t>6</w:t>
      </w:r>
      <w:r>
        <w:rPr>
          <w:rFonts w:cs="Arial"/>
        </w:rPr>
        <w:t>.</w:t>
      </w:r>
    </w:p>
    <w:p w14:paraId="679C2C04" w14:textId="77777777" w:rsidR="001005F5" w:rsidRDefault="001005F5"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1193EB16" w14:textId="46DE44BF" w:rsidR="009537F4" w:rsidRDefault="008E2808" w:rsidP="006A42B3">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2) </w:t>
      </w:r>
      <w:r w:rsidR="00957544">
        <w:rPr>
          <w:rFonts w:cs="Arial"/>
        </w:rPr>
        <w:t xml:space="preserve">   </w:t>
      </w:r>
      <w:r w:rsidR="009537F4" w:rsidRPr="009172F5">
        <w:rPr>
          <w:rFonts w:cs="Arial"/>
          <w:b/>
        </w:rPr>
        <w:t>Agree</w:t>
      </w:r>
      <w:r w:rsidR="009537F4">
        <w:rPr>
          <w:rFonts w:cs="Arial"/>
        </w:rPr>
        <w:t xml:space="preserve"> not to implement the voluntary ‘Pay to Stay’ policy for Council house tenants (para 9)</w:t>
      </w:r>
    </w:p>
    <w:p w14:paraId="28C977FB" w14:textId="77777777" w:rsidR="009537F4" w:rsidRDefault="009537F4"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6D517655" w14:textId="2DDD696D" w:rsidR="00AB541D" w:rsidRDefault="009537F4" w:rsidP="001E172C">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Pr>
          <w:rFonts w:cs="Arial"/>
        </w:rPr>
        <w:t>3)</w:t>
      </w:r>
      <w:r w:rsidR="00957544">
        <w:rPr>
          <w:rFonts w:cs="Arial"/>
        </w:rPr>
        <w:t xml:space="preserve"> </w:t>
      </w:r>
      <w:r w:rsidR="001E172C">
        <w:rPr>
          <w:rFonts w:cs="Arial"/>
        </w:rPr>
        <w:tab/>
      </w:r>
      <w:r w:rsidR="008E2808" w:rsidRPr="009172F5">
        <w:rPr>
          <w:rFonts w:cs="Arial"/>
          <w:b/>
        </w:rPr>
        <w:t>A</w:t>
      </w:r>
      <w:r w:rsidR="00334403" w:rsidRPr="009172F5">
        <w:rPr>
          <w:rFonts w:cs="Arial"/>
          <w:b/>
        </w:rPr>
        <w:t>gree</w:t>
      </w:r>
      <w:r w:rsidR="00334403">
        <w:rPr>
          <w:rFonts w:cs="Arial"/>
        </w:rPr>
        <w:t xml:space="preserve"> the fees and charges shown in </w:t>
      </w:r>
      <w:r w:rsidR="00334403" w:rsidRPr="0059228F">
        <w:rPr>
          <w:rFonts w:cs="Arial"/>
        </w:rPr>
        <w:t xml:space="preserve">Appendix </w:t>
      </w:r>
      <w:r w:rsidR="0059228F" w:rsidRPr="0059228F">
        <w:rPr>
          <w:rFonts w:cs="Arial"/>
        </w:rPr>
        <w:t>7</w:t>
      </w:r>
      <w:r w:rsidR="00334403">
        <w:rPr>
          <w:rFonts w:cs="Arial"/>
        </w:rPr>
        <w:t xml:space="preserve"> </w:t>
      </w:r>
    </w:p>
    <w:p w14:paraId="693595C2" w14:textId="77777777" w:rsidR="0059228F" w:rsidRDefault="0059228F"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47BF2F7C" w14:textId="278C71F2" w:rsidR="00942056" w:rsidRDefault="009537F4" w:rsidP="007B3F5D">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Pr>
          <w:rFonts w:cs="Arial"/>
        </w:rPr>
        <w:lastRenderedPageBreak/>
        <w:t>4</w:t>
      </w:r>
      <w:r w:rsidR="00A71F9E" w:rsidRPr="007B3F5D">
        <w:rPr>
          <w:rFonts w:cs="Arial"/>
        </w:rPr>
        <w:t>)</w:t>
      </w:r>
      <w:r w:rsidR="00942056">
        <w:rPr>
          <w:rFonts w:cs="Arial"/>
        </w:rPr>
        <w:t xml:space="preserve"> </w:t>
      </w:r>
      <w:r w:rsidR="00D10282">
        <w:rPr>
          <w:rFonts w:cs="Arial"/>
        </w:rPr>
        <w:tab/>
      </w:r>
      <w:r w:rsidR="00942056" w:rsidRPr="009172F5">
        <w:rPr>
          <w:rFonts w:cs="Arial"/>
          <w:b/>
        </w:rPr>
        <w:t>Delegate</w:t>
      </w:r>
      <w:r w:rsidR="009172F5" w:rsidRPr="009172F5">
        <w:rPr>
          <w:rFonts w:cs="Arial"/>
          <w:b/>
        </w:rPr>
        <w:t xml:space="preserve"> authority</w:t>
      </w:r>
      <w:r w:rsidR="00942056">
        <w:rPr>
          <w:rFonts w:cs="Arial"/>
        </w:rPr>
        <w:t xml:space="preserve"> to the Section 151 Officer in consult</w:t>
      </w:r>
      <w:r w:rsidR="009172F5">
        <w:rPr>
          <w:rFonts w:cs="Arial"/>
        </w:rPr>
        <w:t xml:space="preserve">ation with the Board Member for </w:t>
      </w:r>
      <w:r w:rsidR="00942056">
        <w:rPr>
          <w:rFonts w:cs="Arial"/>
        </w:rPr>
        <w:t xml:space="preserve">Finance and Assets </w:t>
      </w:r>
      <w:r w:rsidR="00D10282">
        <w:rPr>
          <w:rFonts w:cs="Arial"/>
        </w:rPr>
        <w:t xml:space="preserve">the decision </w:t>
      </w:r>
      <w:r w:rsidR="00942056">
        <w:rPr>
          <w:rFonts w:cs="Arial"/>
        </w:rPr>
        <w:t>to determine whether it is financially advantageous for the</w:t>
      </w:r>
      <w:r w:rsidR="00D10282">
        <w:rPr>
          <w:rFonts w:cs="Arial"/>
        </w:rPr>
        <w:t xml:space="preserve"> </w:t>
      </w:r>
      <w:r w:rsidR="00942056" w:rsidRPr="009A1CA5">
        <w:rPr>
          <w:rFonts w:cs="Arial"/>
        </w:rPr>
        <w:t>Council to enter into a Business Rates Distribution Agreement as</w:t>
      </w:r>
      <w:r w:rsidR="000F74A3" w:rsidRPr="009A1CA5">
        <w:rPr>
          <w:rFonts w:cs="Arial"/>
        </w:rPr>
        <w:t xml:space="preserve"> referred to in paragraphs </w:t>
      </w:r>
      <w:r w:rsidR="009410B2">
        <w:rPr>
          <w:rFonts w:cs="Arial"/>
        </w:rPr>
        <w:t>20</w:t>
      </w:r>
      <w:r w:rsidR="00D3287B" w:rsidRPr="00D3287B">
        <w:rPr>
          <w:rFonts w:cs="Arial"/>
        </w:rPr>
        <w:t>-</w:t>
      </w:r>
      <w:r w:rsidR="008B23A8">
        <w:rPr>
          <w:rFonts w:cs="Arial"/>
        </w:rPr>
        <w:t>2</w:t>
      </w:r>
      <w:r w:rsidR="009410B2">
        <w:rPr>
          <w:rFonts w:cs="Arial"/>
        </w:rPr>
        <w:t>1</w:t>
      </w:r>
      <w:r w:rsidR="00D10282" w:rsidRPr="00D3287B">
        <w:rPr>
          <w:rFonts w:cs="Arial"/>
        </w:rPr>
        <w:t xml:space="preserve"> below.</w:t>
      </w:r>
    </w:p>
    <w:p w14:paraId="0C8D7321" w14:textId="77777777" w:rsidR="00941657" w:rsidRDefault="00941657" w:rsidP="007B3F5D">
      <w:pPr>
        <w:pBdr>
          <w:top w:val="single" w:sz="4" w:space="1" w:color="auto"/>
          <w:left w:val="single" w:sz="4" w:space="0" w:color="auto"/>
          <w:bottom w:val="single" w:sz="4" w:space="1" w:color="auto"/>
          <w:right w:val="single" w:sz="4" w:space="4" w:color="auto"/>
        </w:pBdr>
        <w:tabs>
          <w:tab w:val="left" w:pos="3048"/>
        </w:tabs>
        <w:ind w:right="386"/>
        <w:rPr>
          <w:rFonts w:cs="Arial"/>
        </w:rPr>
      </w:pPr>
    </w:p>
    <w:p w14:paraId="29866C9E" w14:textId="29201B70" w:rsidR="0025018C" w:rsidRPr="00B10BBA" w:rsidRDefault="009537F4" w:rsidP="007B3F5D">
      <w:pPr>
        <w:pBdr>
          <w:top w:val="single" w:sz="4" w:space="1" w:color="auto"/>
          <w:left w:val="single" w:sz="4" w:space="0" w:color="auto"/>
          <w:bottom w:val="single" w:sz="4" w:space="1" w:color="auto"/>
          <w:right w:val="single" w:sz="4" w:space="4" w:color="auto"/>
        </w:pBdr>
        <w:tabs>
          <w:tab w:val="left" w:pos="3048"/>
        </w:tabs>
        <w:ind w:left="567" w:right="386" w:hanging="567"/>
        <w:rPr>
          <w:rFonts w:cs="Arial"/>
          <w:highlight w:val="red"/>
        </w:rPr>
      </w:pPr>
      <w:r>
        <w:rPr>
          <w:rFonts w:cs="Arial"/>
        </w:rPr>
        <w:t>5</w:t>
      </w:r>
      <w:r w:rsidR="00941657" w:rsidRPr="00EA5D28">
        <w:rPr>
          <w:rFonts w:cs="Arial"/>
        </w:rPr>
        <w:t xml:space="preserve">) </w:t>
      </w:r>
      <w:r w:rsidR="00D10282" w:rsidRPr="00EA5D28">
        <w:rPr>
          <w:rFonts w:cs="Arial"/>
        </w:rPr>
        <w:tab/>
      </w:r>
      <w:r w:rsidR="00ED6871" w:rsidRPr="009172F5">
        <w:rPr>
          <w:rFonts w:cs="Arial"/>
          <w:b/>
        </w:rPr>
        <w:t>R</w:t>
      </w:r>
      <w:r w:rsidR="00B10BBA" w:rsidRPr="009172F5">
        <w:rPr>
          <w:rFonts w:cs="Arial"/>
          <w:b/>
        </w:rPr>
        <w:t>ecommend to Council</w:t>
      </w:r>
      <w:r w:rsidR="00B10BBA" w:rsidRPr="00EA5D28">
        <w:rPr>
          <w:rFonts w:cs="Arial"/>
        </w:rPr>
        <w:t xml:space="preserve"> </w:t>
      </w:r>
      <w:r w:rsidR="00210683" w:rsidRPr="00EA5D28">
        <w:rPr>
          <w:rFonts w:cs="Arial"/>
        </w:rPr>
        <w:t xml:space="preserve">an additional </w:t>
      </w:r>
      <w:r w:rsidR="00B10BBA" w:rsidRPr="00EA5D28">
        <w:rPr>
          <w:rFonts w:cs="Arial"/>
        </w:rPr>
        <w:t xml:space="preserve">loan of </w:t>
      </w:r>
      <w:r w:rsidR="009172F5">
        <w:rPr>
          <w:rFonts w:cs="Arial"/>
        </w:rPr>
        <w:t>up to £50,000</w:t>
      </w:r>
      <w:r w:rsidR="00210683" w:rsidRPr="00EA5D28">
        <w:rPr>
          <w:rFonts w:cs="Arial"/>
        </w:rPr>
        <w:t xml:space="preserve"> </w:t>
      </w:r>
      <w:r w:rsidR="00B10BBA" w:rsidRPr="00EA5D28">
        <w:rPr>
          <w:rFonts w:cs="Arial"/>
        </w:rPr>
        <w:t xml:space="preserve">for working capital </w:t>
      </w:r>
      <w:r w:rsidR="00210683" w:rsidRPr="00EA5D28">
        <w:rPr>
          <w:rFonts w:cs="Arial"/>
        </w:rPr>
        <w:t xml:space="preserve">to </w:t>
      </w:r>
      <w:proofErr w:type="spellStart"/>
      <w:r w:rsidR="00210683" w:rsidRPr="00EA5D28">
        <w:rPr>
          <w:rFonts w:cs="Arial"/>
        </w:rPr>
        <w:t>Oxwed</w:t>
      </w:r>
      <w:proofErr w:type="spellEnd"/>
      <w:r w:rsidR="00210683" w:rsidRPr="00EA5D28">
        <w:rPr>
          <w:rFonts w:cs="Arial"/>
        </w:rPr>
        <w:t xml:space="preserve"> as highlighted in paragraph </w:t>
      </w:r>
      <w:r w:rsidR="008B0313">
        <w:rPr>
          <w:rFonts w:cs="Arial"/>
        </w:rPr>
        <w:t>5</w:t>
      </w:r>
      <w:r w:rsidR="00CA49E7">
        <w:rPr>
          <w:rFonts w:cs="Arial"/>
        </w:rPr>
        <w:t>0</w:t>
      </w:r>
    </w:p>
    <w:p w14:paraId="2501A2A5" w14:textId="77777777" w:rsidR="00210683" w:rsidRPr="00B10BBA" w:rsidRDefault="00210683" w:rsidP="007B3F5D">
      <w:pPr>
        <w:pBdr>
          <w:top w:val="single" w:sz="4" w:space="1" w:color="auto"/>
          <w:left w:val="single" w:sz="4" w:space="0" w:color="auto"/>
          <w:bottom w:val="single" w:sz="4" w:space="1" w:color="auto"/>
          <w:right w:val="single" w:sz="4" w:space="4" w:color="auto"/>
        </w:pBdr>
        <w:tabs>
          <w:tab w:val="left" w:pos="3048"/>
        </w:tabs>
        <w:ind w:left="567" w:right="386" w:hanging="567"/>
        <w:rPr>
          <w:rFonts w:cs="Arial"/>
          <w:highlight w:val="red"/>
        </w:rPr>
      </w:pPr>
    </w:p>
    <w:p w14:paraId="4AC96517" w14:textId="5B3891D2" w:rsidR="00ED6871" w:rsidRDefault="009537F4" w:rsidP="00ED6871">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Pr>
          <w:rFonts w:cs="Arial"/>
        </w:rPr>
        <w:t>6</w:t>
      </w:r>
      <w:r w:rsidR="00210683" w:rsidRPr="00244A22">
        <w:rPr>
          <w:rFonts w:cs="Arial"/>
        </w:rPr>
        <w:t>)</w:t>
      </w:r>
      <w:r w:rsidR="00210683" w:rsidRPr="00244A22">
        <w:rPr>
          <w:rFonts w:cs="Arial"/>
        </w:rPr>
        <w:tab/>
      </w:r>
      <w:r w:rsidR="00ED6871" w:rsidRPr="009172F5">
        <w:rPr>
          <w:rFonts w:cs="Arial"/>
          <w:b/>
        </w:rPr>
        <w:t>Recommend to Council</w:t>
      </w:r>
      <w:r w:rsidR="00ED6871" w:rsidRPr="00244A22">
        <w:rPr>
          <w:rFonts w:cs="Arial"/>
        </w:rPr>
        <w:t xml:space="preserve"> </w:t>
      </w:r>
      <w:r w:rsidR="00ED6871">
        <w:rPr>
          <w:rFonts w:cs="Arial"/>
        </w:rPr>
        <w:t xml:space="preserve">provision of a </w:t>
      </w:r>
      <w:r w:rsidR="00ED6871" w:rsidRPr="00244A22">
        <w:rPr>
          <w:rFonts w:cs="Arial"/>
        </w:rPr>
        <w:t>loan</w:t>
      </w:r>
      <w:r w:rsidR="00ED6871">
        <w:rPr>
          <w:rFonts w:cs="Arial"/>
        </w:rPr>
        <w:t xml:space="preserve"> facility </w:t>
      </w:r>
      <w:r w:rsidR="00ED6871" w:rsidRPr="00244A22">
        <w:rPr>
          <w:rFonts w:cs="Arial"/>
        </w:rPr>
        <w:t>to</w:t>
      </w:r>
      <w:r w:rsidR="00ED6871">
        <w:rPr>
          <w:rFonts w:cs="Arial"/>
        </w:rPr>
        <w:t xml:space="preserve"> Oxford City </w:t>
      </w:r>
      <w:r w:rsidR="00ED6871" w:rsidRPr="00244A22">
        <w:rPr>
          <w:rFonts w:cs="Arial"/>
        </w:rPr>
        <w:t xml:space="preserve">Housing </w:t>
      </w:r>
      <w:r w:rsidR="00ED6871">
        <w:rPr>
          <w:rFonts w:cs="Arial"/>
        </w:rPr>
        <w:t>Ltd</w:t>
      </w:r>
      <w:r w:rsidR="00ED6871" w:rsidRPr="00244A22">
        <w:rPr>
          <w:rFonts w:cs="Arial"/>
        </w:rPr>
        <w:t xml:space="preserve"> </w:t>
      </w:r>
      <w:r w:rsidR="00ED6871">
        <w:rPr>
          <w:rFonts w:cs="Arial"/>
        </w:rPr>
        <w:t>of up to</w:t>
      </w:r>
      <w:r w:rsidR="00ED6871" w:rsidRPr="00244A22">
        <w:rPr>
          <w:rFonts w:cs="Arial"/>
        </w:rPr>
        <w:t xml:space="preserve"> £60.850 million </w:t>
      </w:r>
      <w:r w:rsidR="003F4A26">
        <w:rPr>
          <w:rFonts w:cs="Arial"/>
        </w:rPr>
        <w:t>(para 4</w:t>
      </w:r>
      <w:r w:rsidR="00CA49E7">
        <w:rPr>
          <w:rFonts w:cs="Arial"/>
        </w:rPr>
        <w:t>8</w:t>
      </w:r>
      <w:r w:rsidR="003F4A26">
        <w:rPr>
          <w:rFonts w:cs="Arial"/>
        </w:rPr>
        <w:t xml:space="preserve">) </w:t>
      </w:r>
      <w:r w:rsidR="00ED6871">
        <w:rPr>
          <w:rFonts w:cs="Arial"/>
        </w:rPr>
        <w:t>subject to the provision of</w:t>
      </w:r>
      <w:r w:rsidR="003B3B66">
        <w:rPr>
          <w:rFonts w:cs="Arial"/>
        </w:rPr>
        <w:t xml:space="preserve">; </w:t>
      </w:r>
      <w:r w:rsidR="00ED6871">
        <w:rPr>
          <w:rFonts w:cs="Arial"/>
        </w:rPr>
        <w:t xml:space="preserve">and agreement to a business case by the Company. </w:t>
      </w:r>
      <w:r w:rsidR="00ED6871" w:rsidRPr="00244A22">
        <w:rPr>
          <w:rFonts w:cs="Arial"/>
        </w:rPr>
        <w:t>This replaces all previous recommendations agreed by City Executive Board.</w:t>
      </w:r>
    </w:p>
    <w:p w14:paraId="2B37F255" w14:textId="77777777" w:rsidR="00ED6871" w:rsidRDefault="00ED6871" w:rsidP="00ED6871">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p>
    <w:p w14:paraId="1C586B97" w14:textId="77777777" w:rsidR="00942056" w:rsidRPr="00942056" w:rsidRDefault="00942056" w:rsidP="007B3F5D">
      <w:pPr>
        <w:pBdr>
          <w:top w:val="single" w:sz="4" w:space="1" w:color="auto"/>
          <w:left w:val="single" w:sz="4" w:space="0" w:color="auto"/>
          <w:bottom w:val="single" w:sz="4" w:space="1" w:color="auto"/>
          <w:right w:val="single" w:sz="4" w:space="4" w:color="auto"/>
        </w:pBdr>
        <w:tabs>
          <w:tab w:val="left" w:pos="3048"/>
        </w:tabs>
        <w:ind w:right="386"/>
        <w:rPr>
          <w:rFonts w:cs="Arial"/>
        </w:rPr>
      </w:pPr>
    </w:p>
    <w:p w14:paraId="072448FD" w14:textId="77777777" w:rsidR="003A37E1" w:rsidRDefault="003A37E1" w:rsidP="007A3B37">
      <w:pPr>
        <w:ind w:right="386" w:firstLine="720"/>
        <w:jc w:val="both"/>
        <w:rPr>
          <w:b/>
        </w:rPr>
      </w:pPr>
    </w:p>
    <w:p w14:paraId="4FC96311" w14:textId="77777777" w:rsidR="009172F5" w:rsidRDefault="009172F5" w:rsidP="00942056">
      <w:pPr>
        <w:tabs>
          <w:tab w:val="left" w:pos="567"/>
        </w:tabs>
        <w:ind w:left="567" w:right="386" w:hanging="567"/>
        <w:jc w:val="both"/>
        <w:rPr>
          <w:b/>
        </w:rPr>
      </w:pPr>
    </w:p>
    <w:p w14:paraId="1E0F2604" w14:textId="77777777" w:rsidR="007A3B37" w:rsidRPr="0097022F" w:rsidRDefault="007A3B37" w:rsidP="00942056">
      <w:pPr>
        <w:tabs>
          <w:tab w:val="left" w:pos="567"/>
        </w:tabs>
        <w:ind w:left="567" w:right="386" w:hanging="567"/>
        <w:jc w:val="both"/>
        <w:rPr>
          <w:b/>
        </w:rPr>
      </w:pPr>
      <w:r w:rsidRPr="0097022F">
        <w:rPr>
          <w:b/>
        </w:rPr>
        <w:t>Appendices to the report:</w:t>
      </w:r>
    </w:p>
    <w:p w14:paraId="46322EDC" w14:textId="77777777" w:rsidR="005C72B1" w:rsidRPr="0097022F" w:rsidRDefault="005C72B1" w:rsidP="00942056">
      <w:pPr>
        <w:tabs>
          <w:tab w:val="left" w:pos="567"/>
        </w:tabs>
        <w:ind w:left="567" w:right="386" w:hanging="567"/>
        <w:jc w:val="both"/>
      </w:pPr>
      <w:r w:rsidRPr="0097022F">
        <w:t xml:space="preserve">Appendix 1 </w:t>
      </w:r>
      <w:r>
        <w:tab/>
        <w:t xml:space="preserve">Summary of </w:t>
      </w:r>
      <w:r w:rsidR="00B43878">
        <w:t xml:space="preserve">General Fund </w:t>
      </w:r>
      <w:r w:rsidR="00673530">
        <w:t xml:space="preserve">Budget </w:t>
      </w:r>
      <w:r w:rsidR="00673530" w:rsidRPr="0097022F">
        <w:t>by</w:t>
      </w:r>
      <w:r>
        <w:t xml:space="preserve"> Service</w:t>
      </w:r>
      <w:r w:rsidRPr="0097022F">
        <w:t xml:space="preserve"> </w:t>
      </w:r>
      <w:r>
        <w:t>201</w:t>
      </w:r>
      <w:r w:rsidR="002C2483">
        <w:t>7</w:t>
      </w:r>
      <w:r>
        <w:t>-1</w:t>
      </w:r>
      <w:r w:rsidR="002C2483">
        <w:t>8</w:t>
      </w:r>
      <w:r>
        <w:t xml:space="preserve"> to 20</w:t>
      </w:r>
      <w:r w:rsidR="002C2483">
        <w:t>20</w:t>
      </w:r>
      <w:r>
        <w:t>-</w:t>
      </w:r>
      <w:r w:rsidR="005501CA">
        <w:t>2</w:t>
      </w:r>
      <w:r w:rsidR="002C2483">
        <w:t>1</w:t>
      </w:r>
    </w:p>
    <w:p w14:paraId="0E3C8BBC" w14:textId="77777777" w:rsidR="005C72B1" w:rsidRPr="0097022F" w:rsidRDefault="005C72B1" w:rsidP="00942056">
      <w:pPr>
        <w:tabs>
          <w:tab w:val="left" w:pos="567"/>
        </w:tabs>
        <w:ind w:left="567" w:right="386" w:hanging="567"/>
        <w:jc w:val="both"/>
      </w:pPr>
      <w:r w:rsidRPr="0097022F">
        <w:t xml:space="preserve">Appendix 2 </w:t>
      </w:r>
      <w:r w:rsidR="00B43878">
        <w:tab/>
      </w:r>
      <w:r w:rsidRPr="0097022F">
        <w:t xml:space="preserve">General Fund Revenue Budget </w:t>
      </w:r>
      <w:r>
        <w:t>by Service</w:t>
      </w:r>
      <w:r w:rsidRPr="0097022F">
        <w:t xml:space="preserve"> 201</w:t>
      </w:r>
      <w:r w:rsidR="002C2483">
        <w:t>7</w:t>
      </w:r>
      <w:r w:rsidRPr="0097022F">
        <w:t>-</w:t>
      </w:r>
      <w:r>
        <w:t>1</w:t>
      </w:r>
      <w:r w:rsidR="002C2483">
        <w:t>8</w:t>
      </w:r>
      <w:r w:rsidRPr="0097022F">
        <w:t xml:space="preserve"> to 20</w:t>
      </w:r>
      <w:r w:rsidR="002C2483">
        <w:t>20</w:t>
      </w:r>
      <w:r w:rsidRPr="0097022F">
        <w:t>-</w:t>
      </w:r>
      <w:r w:rsidR="005501CA">
        <w:t>2</w:t>
      </w:r>
      <w:r w:rsidR="002C2483">
        <w:t>1</w:t>
      </w:r>
    </w:p>
    <w:p w14:paraId="43C96EA8" w14:textId="77777777" w:rsidR="005C72B1" w:rsidRDefault="005C72B1" w:rsidP="00942056">
      <w:pPr>
        <w:tabs>
          <w:tab w:val="left" w:pos="567"/>
        </w:tabs>
        <w:ind w:left="567" w:right="386" w:hanging="567"/>
        <w:jc w:val="both"/>
      </w:pPr>
      <w:r w:rsidRPr="0097022F">
        <w:t xml:space="preserve">Appendix 3 </w:t>
      </w:r>
      <w:r>
        <w:tab/>
        <w:t xml:space="preserve">Detailed </w:t>
      </w:r>
      <w:r w:rsidR="00F918BD">
        <w:t xml:space="preserve">General Fund </w:t>
      </w:r>
      <w:r w:rsidR="00673090">
        <w:t xml:space="preserve">and HRA </w:t>
      </w:r>
      <w:r>
        <w:t>Service Budgets</w:t>
      </w:r>
      <w:r w:rsidRPr="0097022F">
        <w:t xml:space="preserve"> 201</w:t>
      </w:r>
      <w:r w:rsidR="002C2483">
        <w:t>7</w:t>
      </w:r>
      <w:r w:rsidRPr="0097022F">
        <w:t>-1</w:t>
      </w:r>
      <w:r w:rsidR="002C2483">
        <w:t xml:space="preserve">8 </w:t>
      </w:r>
      <w:r w:rsidRPr="0097022F">
        <w:t>to 20</w:t>
      </w:r>
      <w:r w:rsidR="002C2483">
        <w:t>20</w:t>
      </w:r>
      <w:r w:rsidRPr="0097022F">
        <w:t>-</w:t>
      </w:r>
      <w:r w:rsidR="005501CA">
        <w:t>2</w:t>
      </w:r>
      <w:r w:rsidR="002C2483">
        <w:t>1</w:t>
      </w:r>
    </w:p>
    <w:p w14:paraId="21A70830" w14:textId="77777777" w:rsidR="00673530" w:rsidRDefault="005C72B1" w:rsidP="00942056">
      <w:pPr>
        <w:tabs>
          <w:tab w:val="left" w:pos="567"/>
        </w:tabs>
        <w:ind w:left="567" w:right="386" w:hanging="567"/>
        <w:jc w:val="both"/>
      </w:pPr>
      <w:r w:rsidRPr="0097022F">
        <w:t xml:space="preserve">Appendix </w:t>
      </w:r>
      <w:r w:rsidR="007E18CF">
        <w:t>4</w:t>
      </w:r>
      <w:r w:rsidRPr="0097022F">
        <w:t xml:space="preserve"> </w:t>
      </w:r>
      <w:r>
        <w:tab/>
      </w:r>
      <w:r w:rsidRPr="0097022F">
        <w:t xml:space="preserve">Housing Revenue Account Budget </w:t>
      </w:r>
      <w:r w:rsidR="00673530">
        <w:t>201</w:t>
      </w:r>
      <w:r w:rsidR="002C2483">
        <w:t>7</w:t>
      </w:r>
      <w:r w:rsidR="00673530">
        <w:t>-1</w:t>
      </w:r>
      <w:r w:rsidR="002C2483">
        <w:t>8</w:t>
      </w:r>
      <w:r w:rsidR="00673530">
        <w:t xml:space="preserve"> to 20</w:t>
      </w:r>
      <w:r w:rsidR="002C2483">
        <w:t>20</w:t>
      </w:r>
      <w:r w:rsidR="00673530">
        <w:t>-</w:t>
      </w:r>
      <w:r w:rsidR="00F918BD">
        <w:t>2</w:t>
      </w:r>
      <w:r w:rsidR="002C2483">
        <w:t>1</w:t>
      </w:r>
    </w:p>
    <w:p w14:paraId="1FF1D528" w14:textId="77777777" w:rsidR="00865143" w:rsidRPr="0097022F" w:rsidRDefault="00B43878" w:rsidP="00942056">
      <w:pPr>
        <w:tabs>
          <w:tab w:val="left" w:pos="567"/>
        </w:tabs>
        <w:ind w:left="567" w:right="386" w:hanging="567"/>
        <w:jc w:val="both"/>
      </w:pPr>
      <w:r>
        <w:t xml:space="preserve">Appendix </w:t>
      </w:r>
      <w:r w:rsidR="007E18CF">
        <w:t>5</w:t>
      </w:r>
      <w:r w:rsidR="00865143">
        <w:t xml:space="preserve">  </w:t>
      </w:r>
      <w:r w:rsidR="00F918BD">
        <w:tab/>
      </w:r>
      <w:r w:rsidR="0041253D">
        <w:t>Council House Rents By Estate</w:t>
      </w:r>
      <w:r w:rsidR="00865143" w:rsidRPr="00865143">
        <w:t xml:space="preserve"> </w:t>
      </w:r>
    </w:p>
    <w:p w14:paraId="1B8B3075" w14:textId="77777777" w:rsidR="005C72B1" w:rsidRDefault="005C72B1" w:rsidP="00942056">
      <w:pPr>
        <w:tabs>
          <w:tab w:val="left" w:pos="567"/>
        </w:tabs>
        <w:ind w:left="567" w:right="386" w:hanging="567"/>
        <w:jc w:val="both"/>
      </w:pPr>
      <w:r w:rsidRPr="0097022F">
        <w:t xml:space="preserve">Appendix </w:t>
      </w:r>
      <w:r w:rsidR="007E18CF">
        <w:t>6</w:t>
      </w:r>
      <w:r w:rsidRPr="0097022F">
        <w:t xml:space="preserve"> </w:t>
      </w:r>
      <w:r>
        <w:tab/>
      </w:r>
      <w:r w:rsidR="00F918BD">
        <w:t xml:space="preserve">General Fund </w:t>
      </w:r>
      <w:r w:rsidR="00AE0441">
        <w:t xml:space="preserve">and HRA </w:t>
      </w:r>
      <w:r w:rsidRPr="0097022F">
        <w:t>Capital Programme 201</w:t>
      </w:r>
      <w:r w:rsidR="002C2483">
        <w:t>7</w:t>
      </w:r>
      <w:r w:rsidRPr="0097022F">
        <w:t>-1</w:t>
      </w:r>
      <w:r w:rsidR="002C2483">
        <w:t>8</w:t>
      </w:r>
      <w:r w:rsidRPr="0097022F">
        <w:t xml:space="preserve"> to 20</w:t>
      </w:r>
      <w:r w:rsidR="002C2483">
        <w:t>20</w:t>
      </w:r>
      <w:r w:rsidRPr="0097022F">
        <w:t>-</w:t>
      </w:r>
      <w:r w:rsidR="005501CA">
        <w:t>2</w:t>
      </w:r>
      <w:r w:rsidR="002C2483">
        <w:t>1</w:t>
      </w:r>
    </w:p>
    <w:p w14:paraId="45CEB293" w14:textId="77777777" w:rsidR="005C72B1" w:rsidRDefault="005C72B1" w:rsidP="00942056">
      <w:pPr>
        <w:tabs>
          <w:tab w:val="left" w:pos="567"/>
        </w:tabs>
        <w:ind w:left="567" w:right="386" w:hanging="567"/>
        <w:jc w:val="both"/>
      </w:pPr>
      <w:r w:rsidRPr="0097022F">
        <w:t xml:space="preserve">Appendix </w:t>
      </w:r>
      <w:r w:rsidR="0041253D">
        <w:t>7</w:t>
      </w:r>
      <w:r w:rsidR="00AE0441">
        <w:tab/>
      </w:r>
      <w:r w:rsidRPr="00FE6AC6">
        <w:t xml:space="preserve">Fees and charges </w:t>
      </w:r>
    </w:p>
    <w:p w14:paraId="25A5827A" w14:textId="77777777" w:rsidR="005C72B1" w:rsidRPr="00EA5D28" w:rsidRDefault="005C72B1" w:rsidP="00942056">
      <w:pPr>
        <w:tabs>
          <w:tab w:val="left" w:pos="567"/>
        </w:tabs>
        <w:ind w:left="567" w:right="386" w:hanging="567"/>
        <w:jc w:val="both"/>
      </w:pPr>
      <w:r w:rsidRPr="00EA5D28">
        <w:t xml:space="preserve">Appendix </w:t>
      </w:r>
      <w:r w:rsidR="0041253D" w:rsidRPr="00EA5D28">
        <w:t>8</w:t>
      </w:r>
      <w:r w:rsidRPr="00EA5D28">
        <w:tab/>
        <w:t>Risk Register</w:t>
      </w:r>
    </w:p>
    <w:p w14:paraId="598B4A53" w14:textId="5F06E8E8" w:rsidR="005C72B1" w:rsidRDefault="005C72B1" w:rsidP="00942056">
      <w:pPr>
        <w:tabs>
          <w:tab w:val="left" w:pos="567"/>
        </w:tabs>
        <w:ind w:left="567" w:right="386" w:hanging="567"/>
        <w:jc w:val="both"/>
      </w:pPr>
      <w:r w:rsidRPr="00EA5D28">
        <w:t xml:space="preserve">Appendix </w:t>
      </w:r>
      <w:r w:rsidR="0041253D" w:rsidRPr="00EA5D28">
        <w:t>9</w:t>
      </w:r>
      <w:r w:rsidRPr="00EA5D28">
        <w:t xml:space="preserve"> </w:t>
      </w:r>
      <w:r w:rsidR="00B43878" w:rsidRPr="00EA5D28">
        <w:t xml:space="preserve"> </w:t>
      </w:r>
      <w:r w:rsidR="003F4A26">
        <w:t xml:space="preserve"> </w:t>
      </w:r>
      <w:r w:rsidRPr="00EA5D28">
        <w:t>Draft Equalities Impact Assessment</w:t>
      </w:r>
    </w:p>
    <w:p w14:paraId="4FAF4158" w14:textId="77777777" w:rsidR="00F4367A" w:rsidRPr="00FC3A80" w:rsidRDefault="00F4367A" w:rsidP="007C20F4">
      <w:pPr>
        <w:ind w:right="386" w:firstLine="540"/>
        <w:jc w:val="both"/>
        <w:rPr>
          <w:rFonts w:cs="Arial"/>
          <w:sz w:val="22"/>
          <w:szCs w:val="22"/>
        </w:rPr>
      </w:pPr>
    </w:p>
    <w:p w14:paraId="116ABC17" w14:textId="77777777" w:rsidR="00713675" w:rsidRDefault="00713675" w:rsidP="00B3306E">
      <w:pPr>
        <w:ind w:right="386"/>
        <w:jc w:val="both"/>
        <w:rPr>
          <w:sz w:val="22"/>
          <w:szCs w:val="22"/>
        </w:rPr>
      </w:pPr>
    </w:p>
    <w:p w14:paraId="46BE8024" w14:textId="77777777" w:rsidR="00AA26C9" w:rsidRDefault="00AA26C9" w:rsidP="00942056">
      <w:pPr>
        <w:ind w:right="386"/>
        <w:jc w:val="both"/>
        <w:rPr>
          <w:b/>
          <w:sz w:val="28"/>
          <w:szCs w:val="28"/>
        </w:rPr>
      </w:pPr>
      <w:r>
        <w:rPr>
          <w:b/>
          <w:sz w:val="28"/>
          <w:szCs w:val="28"/>
        </w:rPr>
        <w:t>Comment from the Portfolio holder</w:t>
      </w:r>
    </w:p>
    <w:p w14:paraId="1546D15A" w14:textId="77777777" w:rsidR="00AA26C9" w:rsidRDefault="00AA26C9" w:rsidP="00AA26C9">
      <w:pPr>
        <w:ind w:left="900" w:right="386" w:hanging="360"/>
        <w:jc w:val="both"/>
        <w:rPr>
          <w:b/>
          <w:sz w:val="28"/>
          <w:szCs w:val="28"/>
        </w:rPr>
      </w:pPr>
    </w:p>
    <w:p w14:paraId="50FF2EC3" w14:textId="1ECC3DB4" w:rsidR="007803C4" w:rsidRDefault="007803C4" w:rsidP="006A42B3">
      <w:pPr>
        <w:ind w:left="900" w:right="386"/>
        <w:jc w:val="both"/>
      </w:pPr>
      <w:r>
        <w:t xml:space="preserve">Once again, this budget has been extremely difficult to put together.  </w:t>
      </w:r>
      <w:r w:rsidR="00BE55D5">
        <w:t xml:space="preserve">As the table below shows, whereas even in 2013/14 the Council received over £9 million in government grant, that is now forecast to go </w:t>
      </w:r>
      <w:proofErr w:type="gramStart"/>
      <w:r w:rsidR="00BE55D5">
        <w:t>to</w:t>
      </w:r>
      <w:proofErr w:type="gramEnd"/>
      <w:r w:rsidR="00BE55D5">
        <w:t xml:space="preserve"> just £1.5 million next year, and to zero by 2019/20.  We have had to reduce our expected level of retained business rate income by £</w:t>
      </w:r>
      <w:r w:rsidR="004E5B16">
        <w:t>250</w:t>
      </w:r>
      <w:r w:rsidR="00BE55D5">
        <w:t>,000</w:t>
      </w:r>
      <w:r w:rsidR="004E5B16">
        <w:t xml:space="preserve"> in the latter two years of the plan</w:t>
      </w:r>
      <w:r w:rsidR="00BE55D5">
        <w:t xml:space="preserve"> as a result of the government’s implementation of the so-called “fair funding” proposals.  New Homes Bonus income is also to be reduced, and the government’s apprenticeship levy also represents a significant financial pressure on the Council.  At the same time, there are so</w:t>
      </w:r>
      <w:r w:rsidR="00A266A2">
        <w:t>me significant challenges ahead.  For example:</w:t>
      </w:r>
    </w:p>
    <w:p w14:paraId="18698A52" w14:textId="547F7FFF" w:rsidR="00BE55D5" w:rsidRDefault="00BE55D5" w:rsidP="0081108D">
      <w:pPr>
        <w:pStyle w:val="ListParagraph"/>
        <w:numPr>
          <w:ilvl w:val="0"/>
          <w:numId w:val="40"/>
        </w:numPr>
        <w:ind w:right="386"/>
        <w:jc w:val="both"/>
      </w:pPr>
      <w:r>
        <w:t>As this report details, the reduction in the “household benefit cap” to £20,000 per annum will affect many Oxford families, and can be expected to put significant pressure on council services as well as the incomes of those affected.</w:t>
      </w:r>
    </w:p>
    <w:p w14:paraId="0F8296CB" w14:textId="3F3CBCF6" w:rsidR="00BE55D5" w:rsidRDefault="00BE55D5" w:rsidP="0081108D">
      <w:pPr>
        <w:pStyle w:val="ListParagraph"/>
        <w:numPr>
          <w:ilvl w:val="0"/>
          <w:numId w:val="40"/>
        </w:numPr>
        <w:ind w:right="386"/>
        <w:jc w:val="both"/>
      </w:pPr>
      <w:r>
        <w:t>Following the “Brexit” decision, inflation has increased, which has the potential to put significant pressure on costs faced by the authority.</w:t>
      </w:r>
    </w:p>
    <w:p w14:paraId="1FCE0FB1" w14:textId="03F4811B" w:rsidR="00BE55D5" w:rsidRDefault="00BE55D5" w:rsidP="0081108D">
      <w:pPr>
        <w:pStyle w:val="ListParagraph"/>
        <w:numPr>
          <w:ilvl w:val="0"/>
          <w:numId w:val="40"/>
        </w:numPr>
        <w:ind w:right="386"/>
        <w:jc w:val="both"/>
      </w:pPr>
      <w:r>
        <w:t>Interest rates continue to be very low, adversely affecting the Council’s investment income.</w:t>
      </w:r>
    </w:p>
    <w:p w14:paraId="667725DD" w14:textId="77777777" w:rsidR="00BE55D5" w:rsidRDefault="00BE55D5" w:rsidP="0081108D">
      <w:pPr>
        <w:pStyle w:val="ListParagraph"/>
        <w:ind w:left="1620" w:right="386"/>
        <w:jc w:val="both"/>
      </w:pPr>
    </w:p>
    <w:p w14:paraId="63C0C270" w14:textId="40342465" w:rsidR="00BE55D5" w:rsidRDefault="00BE55D5" w:rsidP="00ED74EC">
      <w:pPr>
        <w:ind w:left="720" w:right="386"/>
        <w:jc w:val="both"/>
      </w:pPr>
      <w:proofErr w:type="gramStart"/>
      <w:r>
        <w:lastRenderedPageBreak/>
        <w:t>A further source of pressure this year are</w:t>
      </w:r>
      <w:proofErr w:type="gramEnd"/>
      <w:r>
        <w:t xml:space="preserve"> decisions taken by Oxfordshire County Council.  It has decided to reduce by £500,000 per year its funding for homeless hostels in the county, leading to the eventual deletion of the budget.  This may put additional pressure on the City Council.  Nonetheless, we are proposing to continue to exceed our statutory obligations to support those who are homeless, by maintaining in full our own funding for homelessness prevention work, and also investing £10 million to purchase new </w:t>
      </w:r>
      <w:r w:rsidR="00A266A2">
        <w:t>temporary accommodation, as we do not believe in targeting cuts in this area.</w:t>
      </w:r>
      <w:r>
        <w:t xml:space="preserve">  The County Council has also deleted funding for the City Centre Manager and another post in economic development.  We are proposing to retain, and fund, these essential posts, but are registering our strong objection to the County Council’s </w:t>
      </w:r>
      <w:r w:rsidR="00552697">
        <w:t>withdrawal from any engagement in supporting Oxford’s economy in these crucial areas.</w:t>
      </w:r>
    </w:p>
    <w:p w14:paraId="3A60EC35" w14:textId="77777777" w:rsidR="00A266A2" w:rsidRDefault="00A266A2" w:rsidP="0081108D">
      <w:pPr>
        <w:ind w:right="386"/>
        <w:jc w:val="both"/>
      </w:pPr>
    </w:p>
    <w:p w14:paraId="335273FD" w14:textId="30832415" w:rsidR="00A266A2" w:rsidRDefault="00A266A2" w:rsidP="00ED74EC">
      <w:pPr>
        <w:ind w:left="720" w:right="386"/>
        <w:jc w:val="both"/>
      </w:pPr>
      <w:r>
        <w:t xml:space="preserve">Nonetheless, and in spite of this bleak context, our budget </w:t>
      </w:r>
      <w:r>
        <w:rPr>
          <w:b/>
        </w:rPr>
        <w:t>balances over the next four years</w:t>
      </w:r>
      <w:r>
        <w:t xml:space="preserve">, and there are </w:t>
      </w:r>
      <w:r w:rsidRPr="0081108D">
        <w:rPr>
          <w:b/>
        </w:rPr>
        <w:t>no significant reductions in se</w:t>
      </w:r>
      <w:r w:rsidR="00743D7F">
        <w:rPr>
          <w:b/>
        </w:rPr>
        <w:t>r</w:t>
      </w:r>
      <w:r w:rsidRPr="0081108D">
        <w:rPr>
          <w:b/>
        </w:rPr>
        <w:t>vices proposed</w:t>
      </w:r>
      <w:r>
        <w:t xml:space="preserve">.   We are increasingly reliant upon trading income, and that clearly presents a risk to the Council going forward.  We are proposing additional investment in some areas, where there is a financial return (for instance, with the expansion of </w:t>
      </w:r>
      <w:proofErr w:type="spellStart"/>
      <w:r>
        <w:t>Seacourt</w:t>
      </w:r>
      <w:proofErr w:type="spellEnd"/>
      <w:r>
        <w:t xml:space="preserve"> Park and Ride), a strong moral as well as financial case (as with support for our local housing company, and purchasing property for homeless people), or where it will benefit communities (such as </w:t>
      </w:r>
      <w:r w:rsidR="004E5B16">
        <w:t xml:space="preserve">over £4 million </w:t>
      </w:r>
      <w:r>
        <w:t xml:space="preserve">funding for community centres).  </w:t>
      </w:r>
    </w:p>
    <w:p w14:paraId="20D3937D" w14:textId="77777777" w:rsidR="00A266A2" w:rsidRDefault="00A266A2" w:rsidP="0081108D">
      <w:pPr>
        <w:ind w:right="386"/>
        <w:jc w:val="both"/>
      </w:pPr>
    </w:p>
    <w:p w14:paraId="46511A1C" w14:textId="0036FD93" w:rsidR="00A266A2" w:rsidRDefault="00A266A2" w:rsidP="00ED74EC">
      <w:pPr>
        <w:ind w:left="720" w:right="386"/>
        <w:jc w:val="both"/>
      </w:pPr>
      <w:r>
        <w:t xml:space="preserve">The government has recently announced two important changes in housing policy.  It has made optional its “Pay to Stay” policy, of drastically increasing council house rents to those with household incomes over £31,000 (so over £15,500 per person in a two-person household).  This would have had a dramatic impact upon council tenants in work, as well as forcing some tenants to exercise their “right to buy” in order to avoid the higher rents, and causing enormous administrative burdens for the Council.  We do not propose to implement “Pay to Stay” in Oxford.  It has also held off its proposal to require us to sell off some “high value” council properties when they become vacant, and hand the proceeds to the government, for one year.  We will lobby for this change to become permanent – Oxford needs </w:t>
      </w:r>
      <w:proofErr w:type="gramStart"/>
      <w:r>
        <w:t>all the</w:t>
      </w:r>
      <w:proofErr w:type="gramEnd"/>
      <w:r>
        <w:t xml:space="preserve"> social housing stock it can possibly have, and forcing it to sell these properties is completely inappropriate.</w:t>
      </w:r>
    </w:p>
    <w:p w14:paraId="431E65DF" w14:textId="77777777" w:rsidR="00A266A2" w:rsidRDefault="00A266A2" w:rsidP="0081108D">
      <w:pPr>
        <w:ind w:right="386"/>
        <w:jc w:val="both"/>
      </w:pPr>
    </w:p>
    <w:p w14:paraId="58AA908C" w14:textId="2E51A69C" w:rsidR="00A266A2" w:rsidRPr="00A266A2" w:rsidRDefault="00A266A2" w:rsidP="00ED74EC">
      <w:pPr>
        <w:ind w:left="720" w:right="386"/>
        <w:jc w:val="both"/>
      </w:pPr>
      <w:r>
        <w:t xml:space="preserve">This is a consultation budget – it represents our best attempt, in difficult financial circumstances, to maintain frontline services, especially for the most vulnerable, invest in our assets, and avoid compulsory redundancies amongst our excellent workforce.  </w:t>
      </w:r>
      <w:r w:rsidR="00552697">
        <w:t>We are grateful to all those who work hard to provide council services, and indeed to many employees for coming forward with innovative ideas to realise savings, which in turn can help protect services at the frontline.  We will welcome feedback on the proposals in this budget, as we welcome the input of anyone who wants to make Oxford a fairer, better place to live.</w:t>
      </w:r>
    </w:p>
    <w:p w14:paraId="5D195345" w14:textId="77777777" w:rsidR="00BE55D5" w:rsidRDefault="00BE55D5" w:rsidP="0081108D">
      <w:pPr>
        <w:ind w:right="386"/>
        <w:jc w:val="both"/>
      </w:pPr>
    </w:p>
    <w:p w14:paraId="1C07AF67" w14:textId="77777777" w:rsidR="00BE55D5" w:rsidRDefault="00BE55D5" w:rsidP="0081108D">
      <w:pPr>
        <w:ind w:right="386"/>
        <w:jc w:val="both"/>
      </w:pPr>
    </w:p>
    <w:p w14:paraId="5108FDB6" w14:textId="77777777" w:rsidR="00ED74EC" w:rsidRDefault="00ED74EC" w:rsidP="0081108D">
      <w:pPr>
        <w:ind w:right="386"/>
        <w:jc w:val="both"/>
      </w:pPr>
    </w:p>
    <w:p w14:paraId="60FA170B" w14:textId="77777777" w:rsidR="00ED74EC" w:rsidRDefault="00ED74EC" w:rsidP="0081108D">
      <w:pPr>
        <w:ind w:right="386"/>
        <w:jc w:val="both"/>
      </w:pPr>
    </w:p>
    <w:p w14:paraId="7552D85C" w14:textId="77777777" w:rsidR="00ED74EC" w:rsidRPr="0081108D" w:rsidRDefault="00ED74EC" w:rsidP="0081108D">
      <w:pPr>
        <w:ind w:right="386"/>
        <w:jc w:val="both"/>
      </w:pPr>
    </w:p>
    <w:p w14:paraId="68B1C694" w14:textId="77777777" w:rsidR="007803C4" w:rsidRDefault="007803C4" w:rsidP="00AA26C9">
      <w:pPr>
        <w:ind w:left="900" w:right="386" w:hanging="360"/>
        <w:jc w:val="both"/>
        <w:rPr>
          <w:b/>
          <w:sz w:val="28"/>
          <w:szCs w:val="28"/>
        </w:rPr>
      </w:pPr>
    </w:p>
    <w:p w14:paraId="58DA2F3A" w14:textId="77777777" w:rsidR="00B3306E" w:rsidRDefault="00B3306E" w:rsidP="00942056">
      <w:pPr>
        <w:ind w:right="386"/>
        <w:jc w:val="both"/>
        <w:rPr>
          <w:b/>
          <w:sz w:val="22"/>
          <w:szCs w:val="22"/>
        </w:rPr>
      </w:pPr>
      <w:r w:rsidRPr="00B3306E">
        <w:rPr>
          <w:b/>
          <w:sz w:val="22"/>
          <w:szCs w:val="22"/>
        </w:rPr>
        <w:lastRenderedPageBreak/>
        <w:t>INTRODUCTION</w:t>
      </w:r>
    </w:p>
    <w:p w14:paraId="4552B37D" w14:textId="77777777" w:rsidR="00B3306E" w:rsidRDefault="00B3306E" w:rsidP="007C20F4">
      <w:pPr>
        <w:ind w:right="386" w:firstLine="540"/>
        <w:jc w:val="both"/>
        <w:rPr>
          <w:b/>
          <w:sz w:val="22"/>
          <w:szCs w:val="22"/>
        </w:rPr>
      </w:pPr>
    </w:p>
    <w:p w14:paraId="10BCA013" w14:textId="77777777" w:rsidR="007A7044" w:rsidRDefault="00CC1EE8" w:rsidP="00302C27">
      <w:pPr>
        <w:numPr>
          <w:ilvl w:val="0"/>
          <w:numId w:val="3"/>
        </w:numPr>
        <w:tabs>
          <w:tab w:val="clear" w:pos="1440"/>
          <w:tab w:val="num" w:pos="567"/>
        </w:tabs>
        <w:ind w:left="567" w:right="386" w:hanging="567"/>
        <w:jc w:val="both"/>
        <w:rPr>
          <w:rFonts w:cs="Arial"/>
        </w:rPr>
      </w:pPr>
      <w:r>
        <w:rPr>
          <w:rFonts w:cs="Arial"/>
        </w:rPr>
        <w:t>This report sets out the Council</w:t>
      </w:r>
      <w:r w:rsidR="00CD3973">
        <w:rPr>
          <w:rFonts w:cs="Arial"/>
        </w:rPr>
        <w:t>’</w:t>
      </w:r>
      <w:r>
        <w:rPr>
          <w:rFonts w:cs="Arial"/>
        </w:rPr>
        <w:t xml:space="preserve">s </w:t>
      </w:r>
      <w:r w:rsidR="00507287">
        <w:rPr>
          <w:rFonts w:cs="Arial"/>
        </w:rPr>
        <w:t xml:space="preserve">Medium Term Financial Strategy (MTFS) </w:t>
      </w:r>
      <w:r w:rsidR="007A432D">
        <w:rPr>
          <w:rFonts w:cs="Arial"/>
        </w:rPr>
        <w:t xml:space="preserve">and associated </w:t>
      </w:r>
      <w:r>
        <w:rPr>
          <w:rFonts w:cs="Arial"/>
        </w:rPr>
        <w:t xml:space="preserve">spending plans for the four years </w:t>
      </w:r>
      <w:r w:rsidR="00507287">
        <w:rPr>
          <w:rFonts w:cs="Arial"/>
        </w:rPr>
        <w:t>201</w:t>
      </w:r>
      <w:r w:rsidR="002C2483">
        <w:rPr>
          <w:rFonts w:cs="Arial"/>
        </w:rPr>
        <w:t>7</w:t>
      </w:r>
      <w:r w:rsidR="00507287">
        <w:rPr>
          <w:rFonts w:cs="Arial"/>
        </w:rPr>
        <w:t>/1</w:t>
      </w:r>
      <w:r w:rsidR="002C2483">
        <w:rPr>
          <w:rFonts w:cs="Arial"/>
        </w:rPr>
        <w:t>8</w:t>
      </w:r>
      <w:r w:rsidR="00507287">
        <w:rPr>
          <w:rFonts w:cs="Arial"/>
        </w:rPr>
        <w:t xml:space="preserve"> to 20</w:t>
      </w:r>
      <w:r w:rsidR="002C2483">
        <w:rPr>
          <w:rFonts w:cs="Arial"/>
        </w:rPr>
        <w:t>20</w:t>
      </w:r>
      <w:r w:rsidR="00507287">
        <w:rPr>
          <w:rFonts w:cs="Arial"/>
        </w:rPr>
        <w:t>/</w:t>
      </w:r>
      <w:r w:rsidR="005501CA">
        <w:rPr>
          <w:rFonts w:cs="Arial"/>
        </w:rPr>
        <w:t>2</w:t>
      </w:r>
      <w:r w:rsidR="002C2483">
        <w:rPr>
          <w:rFonts w:cs="Arial"/>
        </w:rPr>
        <w:t>1</w:t>
      </w:r>
      <w:r w:rsidR="00507287">
        <w:rPr>
          <w:rFonts w:cs="Arial"/>
        </w:rPr>
        <w:t xml:space="preserve"> </w:t>
      </w:r>
      <w:r>
        <w:rPr>
          <w:rFonts w:cs="Arial"/>
        </w:rPr>
        <w:t xml:space="preserve">and gives interested parties the opportunity to comment and be consulted </w:t>
      </w:r>
      <w:r w:rsidR="00CD3973">
        <w:rPr>
          <w:rFonts w:cs="Arial"/>
        </w:rPr>
        <w:t>on</w:t>
      </w:r>
      <w:r>
        <w:rPr>
          <w:rFonts w:cs="Arial"/>
        </w:rPr>
        <w:t xml:space="preserve"> the Council</w:t>
      </w:r>
      <w:r w:rsidR="00CD3973">
        <w:rPr>
          <w:rFonts w:cs="Arial"/>
        </w:rPr>
        <w:t>’</w:t>
      </w:r>
      <w:r>
        <w:rPr>
          <w:rFonts w:cs="Arial"/>
        </w:rPr>
        <w:t xml:space="preserve">s budget </w:t>
      </w:r>
      <w:r w:rsidR="00CD3973">
        <w:rPr>
          <w:rFonts w:cs="Arial"/>
        </w:rPr>
        <w:t xml:space="preserve">proposals </w:t>
      </w:r>
      <w:r>
        <w:rPr>
          <w:rFonts w:cs="Arial"/>
        </w:rPr>
        <w:t xml:space="preserve">for the financial year </w:t>
      </w:r>
      <w:r w:rsidR="00CD3973">
        <w:rPr>
          <w:rFonts w:cs="Arial"/>
        </w:rPr>
        <w:t>(</w:t>
      </w:r>
      <w:r>
        <w:rPr>
          <w:rFonts w:cs="Arial"/>
        </w:rPr>
        <w:t>201</w:t>
      </w:r>
      <w:r w:rsidR="002C2483">
        <w:rPr>
          <w:rFonts w:cs="Arial"/>
        </w:rPr>
        <w:t>7</w:t>
      </w:r>
      <w:r>
        <w:rPr>
          <w:rFonts w:cs="Arial"/>
        </w:rPr>
        <w:t>/1</w:t>
      </w:r>
      <w:r w:rsidR="002C2483">
        <w:rPr>
          <w:rFonts w:cs="Arial"/>
        </w:rPr>
        <w:t>8</w:t>
      </w:r>
      <w:r w:rsidR="00CD3973">
        <w:rPr>
          <w:rFonts w:cs="Arial"/>
        </w:rPr>
        <w:t>)</w:t>
      </w:r>
      <w:r>
        <w:rPr>
          <w:rFonts w:cs="Arial"/>
        </w:rPr>
        <w:t>. The report covers all aspects of the Council</w:t>
      </w:r>
      <w:r w:rsidR="00CD3973">
        <w:rPr>
          <w:rFonts w:cs="Arial"/>
        </w:rPr>
        <w:t>’</w:t>
      </w:r>
      <w:r>
        <w:rPr>
          <w:rFonts w:cs="Arial"/>
        </w:rPr>
        <w:t>s spend</w:t>
      </w:r>
      <w:r w:rsidR="00CD3973">
        <w:rPr>
          <w:rFonts w:cs="Arial"/>
        </w:rPr>
        <w:t>:</w:t>
      </w:r>
      <w:r>
        <w:rPr>
          <w:rFonts w:cs="Arial"/>
        </w:rPr>
        <w:t xml:space="preserve"> General Fund </w:t>
      </w:r>
      <w:r w:rsidR="005C72B1">
        <w:rPr>
          <w:rFonts w:cs="Arial"/>
        </w:rPr>
        <w:t>r</w:t>
      </w:r>
      <w:r>
        <w:rPr>
          <w:rFonts w:cs="Arial"/>
        </w:rPr>
        <w:t>evenue expenditure funded by the council tax payer</w:t>
      </w:r>
      <w:r w:rsidR="003F6421">
        <w:rPr>
          <w:rFonts w:cs="Arial"/>
        </w:rPr>
        <w:t>, government grant and other sources of income</w:t>
      </w:r>
      <w:r>
        <w:rPr>
          <w:rFonts w:cs="Arial"/>
        </w:rPr>
        <w:t>, Housing Revenue Account</w:t>
      </w:r>
      <w:r w:rsidR="00CD3973">
        <w:rPr>
          <w:rFonts w:cs="Arial"/>
        </w:rPr>
        <w:t xml:space="preserve"> </w:t>
      </w:r>
      <w:r w:rsidR="003F6421">
        <w:rPr>
          <w:rFonts w:cs="Arial"/>
        </w:rPr>
        <w:t xml:space="preserve">(HRA) </w:t>
      </w:r>
      <w:r w:rsidR="00AA73D4">
        <w:rPr>
          <w:rFonts w:cs="Arial"/>
        </w:rPr>
        <w:t>expenditure</w:t>
      </w:r>
      <w:r>
        <w:rPr>
          <w:rFonts w:cs="Arial"/>
        </w:rPr>
        <w:t>, funded by council tenants</w:t>
      </w:r>
      <w:r w:rsidR="003F6421">
        <w:rPr>
          <w:rFonts w:cs="Arial"/>
        </w:rPr>
        <w:t>’ rents,</w:t>
      </w:r>
      <w:r>
        <w:rPr>
          <w:rFonts w:cs="Arial"/>
        </w:rPr>
        <w:t xml:space="preserve"> and the Council</w:t>
      </w:r>
      <w:r w:rsidR="00CD3973">
        <w:rPr>
          <w:rFonts w:cs="Arial"/>
        </w:rPr>
        <w:t>’</w:t>
      </w:r>
      <w:r>
        <w:rPr>
          <w:rFonts w:cs="Arial"/>
        </w:rPr>
        <w:t>s Capital Programme</w:t>
      </w:r>
      <w:r w:rsidR="003F6421">
        <w:rPr>
          <w:rFonts w:cs="Arial"/>
        </w:rPr>
        <w:t>s (General Fund and HRA)</w:t>
      </w:r>
      <w:r>
        <w:rPr>
          <w:rFonts w:cs="Arial"/>
        </w:rPr>
        <w:t xml:space="preserve"> funded by Capital Receipts, revenue and borrowing.</w:t>
      </w:r>
    </w:p>
    <w:p w14:paraId="2F55AE54" w14:textId="77777777" w:rsidR="00367883" w:rsidRDefault="00367883" w:rsidP="00942056">
      <w:pPr>
        <w:tabs>
          <w:tab w:val="num" w:pos="567"/>
        </w:tabs>
        <w:ind w:left="567" w:right="386" w:hanging="567"/>
        <w:jc w:val="both"/>
        <w:rPr>
          <w:rFonts w:cs="Arial"/>
        </w:rPr>
      </w:pPr>
    </w:p>
    <w:p w14:paraId="050D938D" w14:textId="77777777" w:rsidR="00367883" w:rsidRPr="009A4457" w:rsidRDefault="00367883" w:rsidP="00302C27">
      <w:pPr>
        <w:numPr>
          <w:ilvl w:val="0"/>
          <w:numId w:val="3"/>
        </w:numPr>
        <w:tabs>
          <w:tab w:val="clear" w:pos="1440"/>
          <w:tab w:val="num" w:pos="567"/>
        </w:tabs>
        <w:ind w:left="567" w:right="386" w:hanging="567"/>
        <w:jc w:val="both"/>
        <w:rPr>
          <w:rFonts w:cs="Arial"/>
        </w:rPr>
      </w:pPr>
      <w:r w:rsidRPr="009A4457">
        <w:rPr>
          <w:rFonts w:cs="Arial"/>
        </w:rPr>
        <w:t>The propos</w:t>
      </w:r>
      <w:r w:rsidR="00017EC1">
        <w:rPr>
          <w:rFonts w:cs="Arial"/>
        </w:rPr>
        <w:t>ed</w:t>
      </w:r>
      <w:r w:rsidRPr="009A4457">
        <w:rPr>
          <w:rFonts w:cs="Arial"/>
        </w:rPr>
        <w:t xml:space="preserve"> M</w:t>
      </w:r>
      <w:r w:rsidR="000D4044">
        <w:rPr>
          <w:rFonts w:cs="Arial"/>
        </w:rPr>
        <w:t xml:space="preserve">edium </w:t>
      </w:r>
      <w:r w:rsidRPr="009A4457">
        <w:rPr>
          <w:rFonts w:cs="Arial"/>
        </w:rPr>
        <w:t>T</w:t>
      </w:r>
      <w:r w:rsidR="000D4044">
        <w:rPr>
          <w:rFonts w:cs="Arial"/>
        </w:rPr>
        <w:t xml:space="preserve">erm </w:t>
      </w:r>
      <w:r w:rsidRPr="009A4457">
        <w:rPr>
          <w:rFonts w:cs="Arial"/>
        </w:rPr>
        <w:t>F</w:t>
      </w:r>
      <w:r w:rsidR="000D4044">
        <w:rPr>
          <w:rFonts w:cs="Arial"/>
        </w:rPr>
        <w:t xml:space="preserve">inancial </w:t>
      </w:r>
      <w:r w:rsidRPr="009A4457">
        <w:rPr>
          <w:rFonts w:cs="Arial"/>
        </w:rPr>
        <w:t>S</w:t>
      </w:r>
      <w:r w:rsidR="000D4044">
        <w:rPr>
          <w:rFonts w:cs="Arial"/>
        </w:rPr>
        <w:t>trategy</w:t>
      </w:r>
      <w:r w:rsidRPr="009A4457">
        <w:rPr>
          <w:rFonts w:cs="Arial"/>
        </w:rPr>
        <w:t>:</w:t>
      </w:r>
    </w:p>
    <w:p w14:paraId="74E24330" w14:textId="77777777" w:rsidR="00367883" w:rsidRPr="009A4457" w:rsidRDefault="00367883" w:rsidP="00942056">
      <w:pPr>
        <w:pStyle w:val="ListParagraph"/>
        <w:tabs>
          <w:tab w:val="num" w:pos="567"/>
        </w:tabs>
        <w:ind w:left="567" w:hanging="567"/>
        <w:rPr>
          <w:rFonts w:cs="Arial"/>
        </w:rPr>
      </w:pPr>
    </w:p>
    <w:p w14:paraId="273886C5" w14:textId="77777777" w:rsidR="00367883" w:rsidRPr="009A4457" w:rsidRDefault="00367883" w:rsidP="00302C27">
      <w:pPr>
        <w:pStyle w:val="ListParagraph"/>
        <w:numPr>
          <w:ilvl w:val="0"/>
          <w:numId w:val="10"/>
        </w:numPr>
        <w:tabs>
          <w:tab w:val="num" w:pos="1134"/>
        </w:tabs>
        <w:ind w:left="1134" w:hanging="567"/>
        <w:rPr>
          <w:rFonts w:cs="Arial"/>
        </w:rPr>
      </w:pPr>
      <w:r w:rsidRPr="009A4457">
        <w:rPr>
          <w:rFonts w:cs="Arial"/>
        </w:rPr>
        <w:t>Is financially balanced over the 4 year period;</w:t>
      </w:r>
    </w:p>
    <w:p w14:paraId="3E96F0A2" w14:textId="77777777" w:rsidR="00367883" w:rsidRDefault="00367883" w:rsidP="00302C27">
      <w:pPr>
        <w:pStyle w:val="ListParagraph"/>
        <w:numPr>
          <w:ilvl w:val="0"/>
          <w:numId w:val="10"/>
        </w:numPr>
        <w:tabs>
          <w:tab w:val="num" w:pos="1134"/>
        </w:tabs>
        <w:ind w:left="1134" w:hanging="567"/>
        <w:rPr>
          <w:rFonts w:cs="Arial"/>
        </w:rPr>
      </w:pPr>
      <w:r w:rsidRPr="009A4457">
        <w:rPr>
          <w:rFonts w:cs="Arial"/>
        </w:rPr>
        <w:t xml:space="preserve">Assumes grant from government reduces to zero </w:t>
      </w:r>
      <w:r w:rsidR="0015339C">
        <w:rPr>
          <w:rFonts w:cs="Arial"/>
        </w:rPr>
        <w:t>by 1/4/2019</w:t>
      </w:r>
      <w:r w:rsidRPr="009A4457">
        <w:rPr>
          <w:rFonts w:cs="Arial"/>
        </w:rPr>
        <w:t>;</w:t>
      </w:r>
    </w:p>
    <w:p w14:paraId="3F9A521D" w14:textId="48468BD3" w:rsidR="00ED6871" w:rsidRDefault="00ED6871" w:rsidP="00302C27">
      <w:pPr>
        <w:pStyle w:val="ListParagraph"/>
        <w:numPr>
          <w:ilvl w:val="0"/>
          <w:numId w:val="10"/>
        </w:numPr>
        <w:tabs>
          <w:tab w:val="num" w:pos="1134"/>
        </w:tabs>
        <w:ind w:left="1134" w:hanging="567"/>
        <w:rPr>
          <w:rFonts w:cs="Arial"/>
        </w:rPr>
      </w:pPr>
      <w:r>
        <w:rPr>
          <w:rFonts w:cs="Arial"/>
        </w:rPr>
        <w:t>Assumes New Homes Bonus is used to fi</w:t>
      </w:r>
      <w:r w:rsidR="003531A4">
        <w:rPr>
          <w:rFonts w:cs="Arial"/>
        </w:rPr>
        <w:t>nance</w:t>
      </w:r>
      <w:r>
        <w:rPr>
          <w:rFonts w:cs="Arial"/>
        </w:rPr>
        <w:t xml:space="preserve"> the </w:t>
      </w:r>
      <w:r w:rsidR="003531A4">
        <w:rPr>
          <w:rFonts w:cs="Arial"/>
        </w:rPr>
        <w:t>Capital Programme</w:t>
      </w:r>
    </w:p>
    <w:p w14:paraId="1E4D0585" w14:textId="77777777" w:rsidR="00ED6871" w:rsidRPr="009A4457" w:rsidRDefault="00ED6871" w:rsidP="00302C27">
      <w:pPr>
        <w:pStyle w:val="ListParagraph"/>
        <w:numPr>
          <w:ilvl w:val="0"/>
          <w:numId w:val="10"/>
        </w:numPr>
        <w:tabs>
          <w:tab w:val="num" w:pos="1134"/>
        </w:tabs>
        <w:ind w:left="1134" w:hanging="567"/>
        <w:rPr>
          <w:rFonts w:cs="Arial"/>
        </w:rPr>
      </w:pPr>
      <w:r>
        <w:rPr>
          <w:rFonts w:cs="Arial"/>
        </w:rPr>
        <w:t>Assumes contingencies of 30% are held against the achievement of high risk efficiencies and fees and charges increases</w:t>
      </w:r>
    </w:p>
    <w:p w14:paraId="0BD970C6" w14:textId="77777777" w:rsidR="00367883" w:rsidRPr="00F142A6" w:rsidRDefault="000D4044" w:rsidP="00302C27">
      <w:pPr>
        <w:pStyle w:val="ListParagraph"/>
        <w:numPr>
          <w:ilvl w:val="0"/>
          <w:numId w:val="10"/>
        </w:numPr>
        <w:tabs>
          <w:tab w:val="num" w:pos="1134"/>
        </w:tabs>
        <w:ind w:left="1134" w:hanging="567"/>
        <w:rPr>
          <w:rFonts w:cs="Arial"/>
        </w:rPr>
      </w:pPr>
      <w:r>
        <w:rPr>
          <w:rFonts w:cs="Arial"/>
        </w:rPr>
        <w:t>A</w:t>
      </w:r>
      <w:r w:rsidR="006D3F6B">
        <w:rPr>
          <w:rFonts w:cs="Arial"/>
        </w:rPr>
        <w:t>ssumes</w:t>
      </w:r>
      <w:r>
        <w:rPr>
          <w:rFonts w:cs="Arial"/>
        </w:rPr>
        <w:t xml:space="preserve"> </w:t>
      </w:r>
      <w:r w:rsidR="00ED6871">
        <w:rPr>
          <w:rFonts w:cs="Arial"/>
        </w:rPr>
        <w:t xml:space="preserve">annual </w:t>
      </w:r>
      <w:r w:rsidR="00367883" w:rsidRPr="009A4457">
        <w:rPr>
          <w:rFonts w:cs="Arial"/>
        </w:rPr>
        <w:t xml:space="preserve">Council Tax </w:t>
      </w:r>
      <w:r w:rsidR="00ED6871">
        <w:rPr>
          <w:rFonts w:cs="Arial"/>
        </w:rPr>
        <w:t xml:space="preserve">increases </w:t>
      </w:r>
      <w:r w:rsidR="00C149B2" w:rsidRPr="00AC1E36">
        <w:rPr>
          <w:rFonts w:cs="Arial"/>
        </w:rPr>
        <w:t xml:space="preserve">of </w:t>
      </w:r>
      <w:r w:rsidR="003F6421">
        <w:rPr>
          <w:rFonts w:cs="Arial"/>
        </w:rPr>
        <w:t>1.99</w:t>
      </w:r>
      <w:r w:rsidR="00367883" w:rsidRPr="00AC1E36">
        <w:rPr>
          <w:rFonts w:cs="Arial"/>
        </w:rPr>
        <w:t xml:space="preserve">% </w:t>
      </w:r>
    </w:p>
    <w:p w14:paraId="2FC80AE9" w14:textId="77777777" w:rsidR="00367883" w:rsidRPr="00F142A6" w:rsidRDefault="006D3F6B" w:rsidP="00302C27">
      <w:pPr>
        <w:pStyle w:val="ListParagraph"/>
        <w:numPr>
          <w:ilvl w:val="0"/>
          <w:numId w:val="10"/>
        </w:numPr>
        <w:tabs>
          <w:tab w:val="num" w:pos="1134"/>
        </w:tabs>
        <w:ind w:left="1134" w:hanging="567"/>
        <w:rPr>
          <w:rFonts w:cs="Arial"/>
        </w:rPr>
      </w:pPr>
      <w:r w:rsidRPr="00F142A6">
        <w:rPr>
          <w:rFonts w:cs="Arial"/>
        </w:rPr>
        <w:t xml:space="preserve">Includes </w:t>
      </w:r>
      <w:r w:rsidR="00367883" w:rsidRPr="00F142A6">
        <w:rPr>
          <w:rFonts w:cs="Arial"/>
        </w:rPr>
        <w:t>£</w:t>
      </w:r>
      <w:r w:rsidR="00F87E0F" w:rsidRPr="00F142A6">
        <w:rPr>
          <w:rFonts w:cs="Arial"/>
        </w:rPr>
        <w:t>1</w:t>
      </w:r>
      <w:r w:rsidR="00F142A6">
        <w:rPr>
          <w:rFonts w:cs="Arial"/>
        </w:rPr>
        <w:t>2</w:t>
      </w:r>
      <w:r w:rsidR="00367883" w:rsidRPr="00F142A6">
        <w:rPr>
          <w:rFonts w:cs="Arial"/>
        </w:rPr>
        <w:t>.</w:t>
      </w:r>
      <w:r w:rsidR="00F142A6">
        <w:rPr>
          <w:rFonts w:cs="Arial"/>
        </w:rPr>
        <w:t>3</w:t>
      </w:r>
      <w:r w:rsidR="00F87E0F" w:rsidRPr="00F142A6">
        <w:rPr>
          <w:rFonts w:cs="Arial"/>
        </w:rPr>
        <w:t xml:space="preserve"> million</w:t>
      </w:r>
      <w:r w:rsidR="00367883" w:rsidRPr="00F142A6">
        <w:rPr>
          <w:rFonts w:cs="Arial"/>
        </w:rPr>
        <w:t xml:space="preserve"> of efficiencies, increased income and services changes across the 4 years;</w:t>
      </w:r>
    </w:p>
    <w:p w14:paraId="28576237" w14:textId="77777777" w:rsidR="00367883" w:rsidRPr="00F142A6" w:rsidRDefault="009829F6" w:rsidP="00302C27">
      <w:pPr>
        <w:pStyle w:val="ListParagraph"/>
        <w:numPr>
          <w:ilvl w:val="0"/>
          <w:numId w:val="10"/>
        </w:numPr>
        <w:shd w:val="clear" w:color="auto" w:fill="FFFFFF"/>
        <w:tabs>
          <w:tab w:val="num" w:pos="1134"/>
        </w:tabs>
        <w:ind w:left="1134" w:hanging="567"/>
        <w:rPr>
          <w:rFonts w:cs="Arial"/>
        </w:rPr>
      </w:pPr>
      <w:r w:rsidRPr="00F142A6">
        <w:rPr>
          <w:rFonts w:cs="Arial"/>
        </w:rPr>
        <w:t xml:space="preserve">Facilitates </w:t>
      </w:r>
      <w:r w:rsidR="00367883" w:rsidRPr="00F142A6">
        <w:rPr>
          <w:rFonts w:cs="Arial"/>
        </w:rPr>
        <w:t>capital investment o</w:t>
      </w:r>
      <w:r w:rsidR="00AC1E36" w:rsidRPr="00F142A6">
        <w:rPr>
          <w:rFonts w:cs="Arial"/>
        </w:rPr>
        <w:t>f</w:t>
      </w:r>
      <w:r w:rsidR="00367883" w:rsidRPr="00F142A6">
        <w:rPr>
          <w:rFonts w:cs="Arial"/>
        </w:rPr>
        <w:t xml:space="preserve"> £</w:t>
      </w:r>
      <w:r w:rsidR="00AC1E36" w:rsidRPr="00F142A6">
        <w:rPr>
          <w:rFonts w:cs="Arial"/>
        </w:rPr>
        <w:t>1</w:t>
      </w:r>
      <w:r w:rsidR="002F2660" w:rsidRPr="00F142A6">
        <w:rPr>
          <w:rFonts w:cs="Arial"/>
        </w:rPr>
        <w:t>2</w:t>
      </w:r>
      <w:r w:rsidR="00F142A6" w:rsidRPr="00F142A6">
        <w:rPr>
          <w:rFonts w:cs="Arial"/>
        </w:rPr>
        <w:t>3</w:t>
      </w:r>
      <w:r w:rsidR="00AC1E36" w:rsidRPr="00F142A6">
        <w:rPr>
          <w:rFonts w:cs="Arial"/>
        </w:rPr>
        <w:t>.</w:t>
      </w:r>
      <w:r w:rsidR="00F142A6" w:rsidRPr="00F142A6">
        <w:rPr>
          <w:rFonts w:cs="Arial"/>
        </w:rPr>
        <w:t>2</w:t>
      </w:r>
      <w:r w:rsidR="00C33670" w:rsidRPr="00F142A6">
        <w:rPr>
          <w:rFonts w:cs="Arial"/>
        </w:rPr>
        <w:t xml:space="preserve"> million</w:t>
      </w:r>
      <w:r w:rsidR="00367883" w:rsidRPr="00F142A6">
        <w:rPr>
          <w:rFonts w:cs="Arial"/>
        </w:rPr>
        <w:t xml:space="preserve"> </w:t>
      </w:r>
      <w:r w:rsidR="00C33670" w:rsidRPr="00F142A6">
        <w:rPr>
          <w:rFonts w:cs="Arial"/>
        </w:rPr>
        <w:t xml:space="preserve">over the four year period </w:t>
      </w:r>
      <w:r w:rsidRPr="00F142A6">
        <w:rPr>
          <w:rFonts w:cs="Arial"/>
        </w:rPr>
        <w:t>including:</w:t>
      </w:r>
    </w:p>
    <w:p w14:paraId="3B5F9C17" w14:textId="77777777" w:rsidR="00C33670" w:rsidRPr="00F142A6" w:rsidRDefault="00A06FF7" w:rsidP="00302C27">
      <w:pPr>
        <w:pStyle w:val="ListParagraph"/>
        <w:numPr>
          <w:ilvl w:val="2"/>
          <w:numId w:val="10"/>
        </w:numPr>
        <w:tabs>
          <w:tab w:val="num" w:pos="2268"/>
        </w:tabs>
        <w:ind w:left="1985" w:firstLine="0"/>
        <w:rPr>
          <w:rFonts w:cs="Arial"/>
        </w:rPr>
      </w:pPr>
      <w:r w:rsidRPr="00F142A6">
        <w:rPr>
          <w:rFonts w:cs="Arial"/>
        </w:rPr>
        <w:t xml:space="preserve">Regeneration </w:t>
      </w:r>
      <w:r w:rsidR="00F97F9F" w:rsidRPr="00F142A6">
        <w:rPr>
          <w:rFonts w:cs="Arial"/>
        </w:rPr>
        <w:t xml:space="preserve">in the </w:t>
      </w:r>
      <w:r w:rsidR="00E05A27">
        <w:rPr>
          <w:rFonts w:cs="Arial"/>
        </w:rPr>
        <w:t>c</w:t>
      </w:r>
      <w:r w:rsidR="00F97F9F" w:rsidRPr="00F142A6">
        <w:rPr>
          <w:rFonts w:cs="Arial"/>
        </w:rPr>
        <w:t xml:space="preserve">ity </w:t>
      </w:r>
    </w:p>
    <w:p w14:paraId="5DF3FC77" w14:textId="12297340" w:rsidR="00F87E0F" w:rsidRPr="00F142A6" w:rsidRDefault="00F87E0F" w:rsidP="00157316">
      <w:pPr>
        <w:pStyle w:val="ListParagraph"/>
        <w:numPr>
          <w:ilvl w:val="2"/>
          <w:numId w:val="10"/>
        </w:numPr>
        <w:tabs>
          <w:tab w:val="num" w:pos="2268"/>
        </w:tabs>
        <w:ind w:left="2268" w:hanging="283"/>
        <w:rPr>
          <w:rFonts w:cs="Arial"/>
        </w:rPr>
      </w:pPr>
      <w:r w:rsidRPr="00F142A6">
        <w:rPr>
          <w:rFonts w:cs="Arial"/>
        </w:rPr>
        <w:t xml:space="preserve">Flood </w:t>
      </w:r>
      <w:r w:rsidR="003F4A26">
        <w:rPr>
          <w:rFonts w:cs="Arial"/>
        </w:rPr>
        <w:t>alleviation at Northway &amp; Marston</w:t>
      </w:r>
      <w:r w:rsidR="00157316">
        <w:rPr>
          <w:rFonts w:cs="Arial"/>
        </w:rPr>
        <w:t xml:space="preserve"> and contributing £1.5 million to the Oxford and Abingdon flood alleviation scheme</w:t>
      </w:r>
    </w:p>
    <w:p w14:paraId="74294076" w14:textId="77777777" w:rsidR="00C33670" w:rsidRPr="00F142A6" w:rsidRDefault="00F97F9F" w:rsidP="00302C27">
      <w:pPr>
        <w:pStyle w:val="ListParagraph"/>
        <w:numPr>
          <w:ilvl w:val="2"/>
          <w:numId w:val="10"/>
        </w:numPr>
        <w:tabs>
          <w:tab w:val="num" w:pos="2268"/>
        </w:tabs>
        <w:ind w:left="1985" w:firstLine="0"/>
        <w:rPr>
          <w:rFonts w:cs="Arial"/>
        </w:rPr>
      </w:pPr>
      <w:r w:rsidRPr="00F142A6">
        <w:rPr>
          <w:rFonts w:cs="Arial"/>
        </w:rPr>
        <w:t>Community Centre and Sports Pavilion new build an</w:t>
      </w:r>
      <w:r w:rsidR="00FB08E2" w:rsidRPr="00F142A6">
        <w:rPr>
          <w:rFonts w:cs="Arial"/>
        </w:rPr>
        <w:t>d</w:t>
      </w:r>
      <w:r w:rsidRPr="00F142A6">
        <w:rPr>
          <w:rFonts w:cs="Arial"/>
        </w:rPr>
        <w:t xml:space="preserve"> refurbishment</w:t>
      </w:r>
    </w:p>
    <w:p w14:paraId="6D9AE9E6" w14:textId="77777777" w:rsidR="00C33670" w:rsidRPr="00F142A6" w:rsidRDefault="00C33670" w:rsidP="00302C27">
      <w:pPr>
        <w:pStyle w:val="ListParagraph"/>
        <w:numPr>
          <w:ilvl w:val="2"/>
          <w:numId w:val="10"/>
        </w:numPr>
        <w:tabs>
          <w:tab w:val="num" w:pos="2268"/>
        </w:tabs>
        <w:ind w:left="1985" w:firstLine="0"/>
        <w:rPr>
          <w:rFonts w:cs="Arial"/>
        </w:rPr>
      </w:pPr>
      <w:r w:rsidRPr="00F142A6">
        <w:rPr>
          <w:rFonts w:cs="Arial"/>
        </w:rPr>
        <w:t xml:space="preserve">Car parks refurbishment and </w:t>
      </w:r>
      <w:r w:rsidR="00A06FF7" w:rsidRPr="00F142A6">
        <w:rPr>
          <w:rFonts w:cs="Arial"/>
        </w:rPr>
        <w:t>improvement</w:t>
      </w:r>
    </w:p>
    <w:p w14:paraId="6B0C0048" w14:textId="77777777" w:rsidR="00F87E0F" w:rsidRPr="00F142A6" w:rsidRDefault="002F21DD" w:rsidP="00157316">
      <w:pPr>
        <w:pStyle w:val="ListParagraph"/>
        <w:numPr>
          <w:ilvl w:val="2"/>
          <w:numId w:val="10"/>
        </w:numPr>
        <w:tabs>
          <w:tab w:val="num" w:pos="2268"/>
        </w:tabs>
        <w:ind w:left="2268" w:hanging="283"/>
        <w:rPr>
          <w:rFonts w:cs="Arial"/>
        </w:rPr>
      </w:pPr>
      <w:r w:rsidRPr="00F142A6">
        <w:rPr>
          <w:rFonts w:cs="Arial"/>
        </w:rPr>
        <w:t>Purchase of h</w:t>
      </w:r>
      <w:r w:rsidR="00F87E0F" w:rsidRPr="00F142A6">
        <w:rPr>
          <w:rFonts w:cs="Arial"/>
        </w:rPr>
        <w:t xml:space="preserve">omes for </w:t>
      </w:r>
      <w:r w:rsidR="003F6421" w:rsidRPr="00F142A6">
        <w:rPr>
          <w:rFonts w:cs="Arial"/>
        </w:rPr>
        <w:t xml:space="preserve">local </w:t>
      </w:r>
      <w:r w:rsidR="00F87E0F" w:rsidRPr="00F142A6">
        <w:rPr>
          <w:rFonts w:cs="Arial"/>
        </w:rPr>
        <w:t>homeless families</w:t>
      </w:r>
      <w:r w:rsidRPr="00F142A6">
        <w:rPr>
          <w:rFonts w:cs="Arial"/>
        </w:rPr>
        <w:t xml:space="preserve"> we have a duty </w:t>
      </w:r>
      <w:r w:rsidR="003F6421" w:rsidRPr="00F142A6">
        <w:rPr>
          <w:rFonts w:cs="Arial"/>
        </w:rPr>
        <w:t>to assist</w:t>
      </w:r>
    </w:p>
    <w:p w14:paraId="4673C15E" w14:textId="77777777" w:rsidR="002F2660" w:rsidRPr="00F142A6" w:rsidRDefault="002F2660" w:rsidP="00302C27">
      <w:pPr>
        <w:pStyle w:val="ListParagraph"/>
        <w:numPr>
          <w:ilvl w:val="2"/>
          <w:numId w:val="10"/>
        </w:numPr>
        <w:tabs>
          <w:tab w:val="num" w:pos="2268"/>
        </w:tabs>
        <w:ind w:left="1985" w:firstLine="0"/>
        <w:rPr>
          <w:rFonts w:cs="Arial"/>
        </w:rPr>
      </w:pPr>
      <w:r w:rsidRPr="00F142A6">
        <w:rPr>
          <w:rFonts w:cs="Arial"/>
        </w:rPr>
        <w:t>Improvements and refurbishments to council dwellings</w:t>
      </w:r>
    </w:p>
    <w:p w14:paraId="61CE0CB0" w14:textId="77777777" w:rsidR="002F2660" w:rsidRPr="00F142A6" w:rsidRDefault="002F2660" w:rsidP="00302C27">
      <w:pPr>
        <w:pStyle w:val="ListParagraph"/>
        <w:numPr>
          <w:ilvl w:val="2"/>
          <w:numId w:val="10"/>
        </w:numPr>
        <w:tabs>
          <w:tab w:val="num" w:pos="2268"/>
        </w:tabs>
        <w:ind w:left="1985" w:firstLine="0"/>
        <w:rPr>
          <w:rFonts w:cs="Arial"/>
        </w:rPr>
      </w:pPr>
      <w:r w:rsidRPr="00F142A6">
        <w:rPr>
          <w:rFonts w:cs="Arial"/>
        </w:rPr>
        <w:t xml:space="preserve">Regeneration of </w:t>
      </w:r>
      <w:r w:rsidR="00ED6871">
        <w:rPr>
          <w:rFonts w:cs="Arial"/>
        </w:rPr>
        <w:t>c</w:t>
      </w:r>
      <w:r w:rsidRPr="00F142A6">
        <w:rPr>
          <w:rFonts w:cs="Arial"/>
        </w:rPr>
        <w:t>ouncil estates</w:t>
      </w:r>
    </w:p>
    <w:p w14:paraId="38C9981A" w14:textId="77777777" w:rsidR="002F2660" w:rsidRPr="00F142A6" w:rsidRDefault="002F2660" w:rsidP="002F2660">
      <w:pPr>
        <w:pStyle w:val="ListParagraph"/>
        <w:ind w:left="1985"/>
        <w:rPr>
          <w:rFonts w:cs="Arial"/>
        </w:rPr>
      </w:pPr>
    </w:p>
    <w:p w14:paraId="28DCE0F5" w14:textId="6D170290" w:rsidR="00F142A6" w:rsidRPr="00F142A6" w:rsidRDefault="00F142A6" w:rsidP="00302C27">
      <w:pPr>
        <w:pStyle w:val="ListParagraph"/>
        <w:numPr>
          <w:ilvl w:val="0"/>
          <w:numId w:val="10"/>
        </w:numPr>
        <w:tabs>
          <w:tab w:val="num" w:pos="1134"/>
        </w:tabs>
        <w:ind w:left="1134" w:hanging="567"/>
        <w:rPr>
          <w:rFonts w:cs="Arial"/>
        </w:rPr>
      </w:pPr>
      <w:r w:rsidRPr="00F142A6">
        <w:rPr>
          <w:rFonts w:cs="Arial"/>
        </w:rPr>
        <w:t>Provides resou</w:t>
      </w:r>
      <w:r w:rsidR="00244A22">
        <w:rPr>
          <w:rFonts w:cs="Arial"/>
        </w:rPr>
        <w:t>r</w:t>
      </w:r>
      <w:r w:rsidRPr="00F142A6">
        <w:rPr>
          <w:rFonts w:cs="Arial"/>
        </w:rPr>
        <w:t xml:space="preserve">ces </w:t>
      </w:r>
      <w:r w:rsidR="00581DC5">
        <w:rPr>
          <w:rFonts w:cs="Arial"/>
        </w:rPr>
        <w:t xml:space="preserve">of </w:t>
      </w:r>
      <w:r w:rsidRPr="00F142A6">
        <w:rPr>
          <w:rFonts w:cs="Arial"/>
        </w:rPr>
        <w:t>£</w:t>
      </w:r>
      <w:r w:rsidR="00244A22">
        <w:rPr>
          <w:rFonts w:cs="Arial"/>
        </w:rPr>
        <w:t>6</w:t>
      </w:r>
      <w:r w:rsidRPr="00F142A6">
        <w:rPr>
          <w:rFonts w:cs="Arial"/>
        </w:rPr>
        <w:t xml:space="preserve">0 million </w:t>
      </w:r>
      <w:r w:rsidR="00581DC5">
        <w:rPr>
          <w:rFonts w:cs="Arial"/>
        </w:rPr>
        <w:t>for use</w:t>
      </w:r>
      <w:r w:rsidRPr="00F142A6">
        <w:rPr>
          <w:rFonts w:cs="Arial"/>
        </w:rPr>
        <w:t xml:space="preserve"> by the Housing Company over the next four years and the acquisition and building of around 500 new homes </w:t>
      </w:r>
    </w:p>
    <w:p w14:paraId="3CAEE3BB" w14:textId="77777777" w:rsidR="00427B24" w:rsidRPr="002C2483" w:rsidRDefault="00427B24" w:rsidP="00427B24">
      <w:pPr>
        <w:pStyle w:val="ListParagraph"/>
        <w:ind w:left="1134"/>
        <w:rPr>
          <w:rFonts w:cs="Arial"/>
          <w:highlight w:val="yellow"/>
        </w:rPr>
      </w:pPr>
    </w:p>
    <w:p w14:paraId="1C6356C6" w14:textId="77777777" w:rsidR="00495477" w:rsidRPr="00F142A6" w:rsidRDefault="00495477" w:rsidP="00495477">
      <w:pPr>
        <w:ind w:right="386"/>
        <w:jc w:val="both"/>
        <w:rPr>
          <w:rFonts w:cs="Arial"/>
        </w:rPr>
      </w:pPr>
    </w:p>
    <w:p w14:paraId="2A04BB9A" w14:textId="77777777" w:rsidR="00E51BBC" w:rsidRPr="00F142A6" w:rsidRDefault="00CC1EE8" w:rsidP="00302C27">
      <w:pPr>
        <w:numPr>
          <w:ilvl w:val="0"/>
          <w:numId w:val="3"/>
        </w:numPr>
        <w:tabs>
          <w:tab w:val="clear" w:pos="1440"/>
          <w:tab w:val="num" w:pos="567"/>
        </w:tabs>
        <w:ind w:left="567" w:right="386" w:hanging="567"/>
        <w:jc w:val="both"/>
      </w:pPr>
      <w:r w:rsidRPr="00F142A6">
        <w:rPr>
          <w:rFonts w:cs="Arial"/>
        </w:rPr>
        <w:t>For ease of reading</w:t>
      </w:r>
      <w:r w:rsidR="00990B0D" w:rsidRPr="00F142A6">
        <w:rPr>
          <w:rFonts w:cs="Arial"/>
        </w:rPr>
        <w:t>;</w:t>
      </w:r>
      <w:r w:rsidRPr="00F142A6">
        <w:rPr>
          <w:rFonts w:cs="Arial"/>
        </w:rPr>
        <w:t xml:space="preserve"> the report is split into four sections </w:t>
      </w:r>
      <w:r w:rsidR="00E51BBC" w:rsidRPr="00F142A6">
        <w:t>:</w:t>
      </w:r>
    </w:p>
    <w:p w14:paraId="129DDC56" w14:textId="77777777" w:rsidR="00427B24" w:rsidRPr="00F142A6" w:rsidRDefault="00427B24" w:rsidP="00427B24">
      <w:pPr>
        <w:tabs>
          <w:tab w:val="num" w:pos="567"/>
        </w:tabs>
        <w:ind w:left="567" w:right="386"/>
        <w:jc w:val="both"/>
      </w:pPr>
    </w:p>
    <w:p w14:paraId="4D1A9D78" w14:textId="77777777" w:rsidR="00E51BBC" w:rsidRPr="00F142A6" w:rsidRDefault="00427B24" w:rsidP="00942056">
      <w:pPr>
        <w:tabs>
          <w:tab w:val="num" w:pos="567"/>
        </w:tabs>
        <w:ind w:left="567" w:right="386" w:hanging="567"/>
        <w:jc w:val="both"/>
        <w:rPr>
          <w:b/>
        </w:rPr>
      </w:pPr>
      <w:r w:rsidRPr="00F142A6">
        <w:tab/>
      </w:r>
      <w:r w:rsidR="00E51BBC" w:rsidRPr="00F142A6">
        <w:rPr>
          <w:b/>
        </w:rPr>
        <w:t xml:space="preserve">Section </w:t>
      </w:r>
      <w:proofErr w:type="gramStart"/>
      <w:r w:rsidR="00E51BBC" w:rsidRPr="00F142A6">
        <w:rPr>
          <w:b/>
        </w:rPr>
        <w:t>A</w:t>
      </w:r>
      <w:proofErr w:type="gramEnd"/>
      <w:r w:rsidR="00E51BBC" w:rsidRPr="00F142A6">
        <w:rPr>
          <w:b/>
        </w:rPr>
        <w:t xml:space="preserve"> Background and </w:t>
      </w:r>
      <w:r w:rsidR="003C1956" w:rsidRPr="00F142A6">
        <w:rPr>
          <w:b/>
        </w:rPr>
        <w:t>Context</w:t>
      </w:r>
      <w:r w:rsidR="001450F5" w:rsidRPr="00F142A6">
        <w:rPr>
          <w:b/>
        </w:rPr>
        <w:t xml:space="preserve"> </w:t>
      </w:r>
    </w:p>
    <w:p w14:paraId="1117D059" w14:textId="77777777" w:rsidR="00E51BBC" w:rsidRPr="00F142A6" w:rsidRDefault="00A06FF7" w:rsidP="00942056">
      <w:pPr>
        <w:tabs>
          <w:tab w:val="num" w:pos="567"/>
        </w:tabs>
        <w:ind w:left="567" w:right="386" w:hanging="567"/>
        <w:jc w:val="both"/>
        <w:rPr>
          <w:b/>
        </w:rPr>
      </w:pPr>
      <w:r w:rsidRPr="00F142A6">
        <w:rPr>
          <w:b/>
        </w:rPr>
        <w:tab/>
      </w:r>
      <w:r w:rsidR="00E51BBC" w:rsidRPr="00F142A6">
        <w:rPr>
          <w:b/>
        </w:rPr>
        <w:t>Section B General Fund Revenue Budget</w:t>
      </w:r>
    </w:p>
    <w:p w14:paraId="59A0B24F" w14:textId="77777777" w:rsidR="00E51BBC" w:rsidRPr="00F142A6" w:rsidRDefault="00A06FF7" w:rsidP="00942056">
      <w:pPr>
        <w:tabs>
          <w:tab w:val="num" w:pos="567"/>
        </w:tabs>
        <w:ind w:left="567" w:right="386" w:hanging="567"/>
        <w:jc w:val="both"/>
        <w:rPr>
          <w:b/>
        </w:rPr>
      </w:pPr>
      <w:r w:rsidRPr="00F142A6">
        <w:rPr>
          <w:b/>
        </w:rPr>
        <w:tab/>
      </w:r>
      <w:r w:rsidR="00E51BBC" w:rsidRPr="00F142A6">
        <w:rPr>
          <w:b/>
        </w:rPr>
        <w:t>Section C</w:t>
      </w:r>
      <w:r w:rsidR="004C07CE" w:rsidRPr="00F142A6">
        <w:rPr>
          <w:b/>
        </w:rPr>
        <w:t xml:space="preserve"> Housing Revenue A</w:t>
      </w:r>
      <w:r w:rsidR="00E51BBC" w:rsidRPr="00F142A6">
        <w:rPr>
          <w:b/>
        </w:rPr>
        <w:t>ccount (HRA) Budget</w:t>
      </w:r>
    </w:p>
    <w:p w14:paraId="04E56196" w14:textId="77777777" w:rsidR="00E51BBC" w:rsidRPr="00F142A6" w:rsidRDefault="004B50C0" w:rsidP="00942056">
      <w:pPr>
        <w:tabs>
          <w:tab w:val="num" w:pos="567"/>
        </w:tabs>
        <w:ind w:left="567" w:right="386" w:hanging="567"/>
        <w:jc w:val="both"/>
        <w:rPr>
          <w:b/>
        </w:rPr>
      </w:pPr>
      <w:r w:rsidRPr="00F142A6">
        <w:rPr>
          <w:b/>
        </w:rPr>
        <w:tab/>
      </w:r>
      <w:r w:rsidR="00E51BBC" w:rsidRPr="00F142A6">
        <w:rPr>
          <w:b/>
        </w:rPr>
        <w:t xml:space="preserve">Section D Capital </w:t>
      </w:r>
      <w:r w:rsidR="005C72B1" w:rsidRPr="00F142A6">
        <w:rPr>
          <w:b/>
        </w:rPr>
        <w:t>Programme</w:t>
      </w:r>
    </w:p>
    <w:p w14:paraId="0DE61BFE" w14:textId="77777777" w:rsidR="009172F5" w:rsidRDefault="009172F5" w:rsidP="00942056">
      <w:pPr>
        <w:tabs>
          <w:tab w:val="num" w:pos="567"/>
        </w:tabs>
        <w:ind w:left="567" w:right="386" w:hanging="567"/>
        <w:jc w:val="both"/>
        <w:rPr>
          <w:b/>
        </w:rPr>
      </w:pPr>
    </w:p>
    <w:p w14:paraId="4FCC9226" w14:textId="77777777" w:rsidR="009172F5" w:rsidRDefault="009172F5" w:rsidP="00942056">
      <w:pPr>
        <w:tabs>
          <w:tab w:val="num" w:pos="567"/>
        </w:tabs>
        <w:ind w:left="567" w:right="386" w:hanging="567"/>
        <w:jc w:val="both"/>
        <w:rPr>
          <w:b/>
        </w:rPr>
      </w:pPr>
    </w:p>
    <w:p w14:paraId="760FA274" w14:textId="77777777" w:rsidR="009172F5" w:rsidRDefault="009172F5" w:rsidP="00942056">
      <w:pPr>
        <w:tabs>
          <w:tab w:val="num" w:pos="567"/>
        </w:tabs>
        <w:ind w:left="567" w:right="386" w:hanging="567"/>
        <w:jc w:val="both"/>
        <w:rPr>
          <w:b/>
        </w:rPr>
      </w:pPr>
    </w:p>
    <w:p w14:paraId="50D8367F" w14:textId="77777777" w:rsidR="009172F5" w:rsidRDefault="009172F5" w:rsidP="00942056">
      <w:pPr>
        <w:tabs>
          <w:tab w:val="num" w:pos="567"/>
        </w:tabs>
        <w:ind w:left="567" w:right="386" w:hanging="567"/>
        <w:jc w:val="both"/>
        <w:rPr>
          <w:b/>
        </w:rPr>
      </w:pPr>
    </w:p>
    <w:p w14:paraId="11AF97CE" w14:textId="77777777" w:rsidR="009172F5" w:rsidRDefault="009172F5" w:rsidP="00942056">
      <w:pPr>
        <w:tabs>
          <w:tab w:val="num" w:pos="567"/>
        </w:tabs>
        <w:ind w:left="567" w:right="386" w:hanging="567"/>
        <w:jc w:val="both"/>
        <w:rPr>
          <w:b/>
        </w:rPr>
      </w:pPr>
    </w:p>
    <w:p w14:paraId="185F825F" w14:textId="77777777" w:rsidR="009172F5" w:rsidRDefault="009172F5" w:rsidP="00942056">
      <w:pPr>
        <w:tabs>
          <w:tab w:val="num" w:pos="567"/>
        </w:tabs>
        <w:ind w:left="567" w:right="386" w:hanging="567"/>
        <w:jc w:val="both"/>
        <w:rPr>
          <w:b/>
        </w:rPr>
      </w:pPr>
    </w:p>
    <w:p w14:paraId="3E9166F3" w14:textId="77777777" w:rsidR="001718F2" w:rsidRPr="00F142A6" w:rsidRDefault="00E51BBC" w:rsidP="00942056">
      <w:pPr>
        <w:tabs>
          <w:tab w:val="num" w:pos="567"/>
        </w:tabs>
        <w:ind w:left="567" w:right="386" w:hanging="567"/>
        <w:jc w:val="both"/>
        <w:rPr>
          <w:b/>
          <w:sz w:val="28"/>
          <w:szCs w:val="28"/>
        </w:rPr>
      </w:pPr>
      <w:r w:rsidRPr="00F142A6">
        <w:rPr>
          <w:b/>
          <w:sz w:val="28"/>
          <w:szCs w:val="28"/>
        </w:rPr>
        <w:lastRenderedPageBreak/>
        <w:t xml:space="preserve">Section </w:t>
      </w:r>
      <w:proofErr w:type="gramStart"/>
      <w:r w:rsidRPr="00F142A6">
        <w:rPr>
          <w:b/>
          <w:sz w:val="28"/>
          <w:szCs w:val="28"/>
        </w:rPr>
        <w:t>A</w:t>
      </w:r>
      <w:proofErr w:type="gramEnd"/>
      <w:r w:rsidRPr="00F142A6">
        <w:rPr>
          <w:b/>
          <w:sz w:val="28"/>
          <w:szCs w:val="28"/>
        </w:rPr>
        <w:t xml:space="preserve"> Background and Context</w:t>
      </w:r>
    </w:p>
    <w:p w14:paraId="6B27436E" w14:textId="77777777" w:rsidR="000D75E5" w:rsidRPr="00F142A6" w:rsidRDefault="000D75E5" w:rsidP="007C20F4">
      <w:pPr>
        <w:ind w:right="386" w:firstLine="540"/>
        <w:jc w:val="both"/>
        <w:rPr>
          <w:sz w:val="22"/>
          <w:szCs w:val="22"/>
        </w:rPr>
      </w:pPr>
    </w:p>
    <w:p w14:paraId="5C52B3EB" w14:textId="77777777" w:rsidR="00902055" w:rsidRPr="00F142A6" w:rsidRDefault="00071B82" w:rsidP="00942056">
      <w:pPr>
        <w:ind w:right="386"/>
        <w:jc w:val="both"/>
        <w:rPr>
          <w:b/>
          <w:sz w:val="28"/>
          <w:szCs w:val="28"/>
        </w:rPr>
      </w:pPr>
      <w:r w:rsidRPr="00F142A6">
        <w:rPr>
          <w:b/>
          <w:sz w:val="28"/>
          <w:szCs w:val="28"/>
        </w:rPr>
        <w:t>Background</w:t>
      </w:r>
      <w:r w:rsidR="00AA3E93" w:rsidRPr="00F142A6">
        <w:rPr>
          <w:b/>
          <w:sz w:val="28"/>
          <w:szCs w:val="28"/>
        </w:rPr>
        <w:t xml:space="preserve"> </w:t>
      </w:r>
    </w:p>
    <w:p w14:paraId="6BCD1A02" w14:textId="77777777" w:rsidR="004E7A86" w:rsidRPr="002C2483" w:rsidRDefault="004E7A86" w:rsidP="00902055">
      <w:pPr>
        <w:ind w:left="900" w:right="386" w:hanging="360"/>
        <w:jc w:val="both"/>
        <w:rPr>
          <w:b/>
          <w:highlight w:val="yellow"/>
        </w:rPr>
      </w:pPr>
    </w:p>
    <w:p w14:paraId="366B9E30" w14:textId="26CA4E84" w:rsidR="002507A0" w:rsidRPr="0015339C" w:rsidRDefault="00F142A6" w:rsidP="007B3F5D">
      <w:pPr>
        <w:ind w:left="567" w:right="386" w:hanging="567"/>
        <w:jc w:val="both"/>
        <w:rPr>
          <w:sz w:val="22"/>
          <w:szCs w:val="22"/>
        </w:rPr>
      </w:pPr>
      <w:r>
        <w:t>4</w:t>
      </w:r>
      <w:r w:rsidR="00B817E9" w:rsidRPr="0015339C">
        <w:tab/>
      </w:r>
      <w:r w:rsidR="004E7A86" w:rsidRPr="0015339C">
        <w:t>This report sets out the Council</w:t>
      </w:r>
      <w:r w:rsidR="003969E2" w:rsidRPr="0015339C">
        <w:t>’</w:t>
      </w:r>
      <w:r w:rsidR="004E7A86" w:rsidRPr="0015339C">
        <w:t>s financial plans for the period 201</w:t>
      </w:r>
      <w:r w:rsidR="0015339C" w:rsidRPr="0015339C">
        <w:t>7</w:t>
      </w:r>
      <w:r w:rsidR="004E7A86" w:rsidRPr="0015339C">
        <w:t>/1</w:t>
      </w:r>
      <w:r w:rsidR="0015339C" w:rsidRPr="0015339C">
        <w:t>8</w:t>
      </w:r>
      <w:r w:rsidR="004E7A86" w:rsidRPr="0015339C">
        <w:t xml:space="preserve"> to 20</w:t>
      </w:r>
      <w:r w:rsidR="0015339C" w:rsidRPr="0015339C">
        <w:t>20</w:t>
      </w:r>
      <w:r w:rsidR="004E7A86" w:rsidRPr="0015339C">
        <w:t>/</w:t>
      </w:r>
      <w:r w:rsidR="00232EDE" w:rsidRPr="0015339C">
        <w:t>2</w:t>
      </w:r>
      <w:r w:rsidR="0015339C" w:rsidRPr="0015339C">
        <w:t>1</w:t>
      </w:r>
      <w:r w:rsidR="004E7A86" w:rsidRPr="0015339C">
        <w:t xml:space="preserve">. The plans make </w:t>
      </w:r>
      <w:r w:rsidR="008F0D26" w:rsidRPr="0015339C">
        <w:t>assumptions</w:t>
      </w:r>
      <w:r w:rsidR="004E7A86" w:rsidRPr="0015339C">
        <w:t xml:space="preserve"> </w:t>
      </w:r>
      <w:r w:rsidR="003969E2" w:rsidRPr="0015339C">
        <w:t>about</w:t>
      </w:r>
      <w:r w:rsidR="004E7A86" w:rsidRPr="0015339C">
        <w:t xml:space="preserve"> income from Government </w:t>
      </w:r>
      <w:r w:rsidR="0065427B">
        <w:t>grants</w:t>
      </w:r>
      <w:r w:rsidR="004435EE" w:rsidRPr="0015339C">
        <w:t>,</w:t>
      </w:r>
      <w:r w:rsidR="004E7A86" w:rsidRPr="0015339C">
        <w:t xml:space="preserve"> </w:t>
      </w:r>
      <w:r w:rsidR="004435EE" w:rsidRPr="0015339C">
        <w:t>C</w:t>
      </w:r>
      <w:r w:rsidR="004E7A86" w:rsidRPr="0015339C">
        <w:t xml:space="preserve">ouncil </w:t>
      </w:r>
      <w:r w:rsidR="004435EE" w:rsidRPr="0015339C">
        <w:t>T</w:t>
      </w:r>
      <w:r w:rsidR="004E7A86" w:rsidRPr="0015339C">
        <w:t xml:space="preserve">ax </w:t>
      </w:r>
      <w:r w:rsidR="004435EE" w:rsidRPr="0015339C">
        <w:t>and rents</w:t>
      </w:r>
      <w:r w:rsidR="004E7A86" w:rsidRPr="0015339C">
        <w:t xml:space="preserve">. The plans </w:t>
      </w:r>
      <w:r w:rsidR="004435EE" w:rsidRPr="0015339C">
        <w:t xml:space="preserve">underpin </w:t>
      </w:r>
      <w:r w:rsidR="004E7A86" w:rsidRPr="0015339C">
        <w:t>service</w:t>
      </w:r>
      <w:r w:rsidR="004435EE" w:rsidRPr="0015339C">
        <w:t xml:space="preserve"> provision and </w:t>
      </w:r>
      <w:r w:rsidR="004E7A86" w:rsidRPr="0015339C">
        <w:t>the Council</w:t>
      </w:r>
      <w:r w:rsidR="004435EE" w:rsidRPr="0015339C">
        <w:t xml:space="preserve">’s </w:t>
      </w:r>
      <w:r w:rsidR="000409F1" w:rsidRPr="0015339C">
        <w:t xml:space="preserve">vision </w:t>
      </w:r>
      <w:r w:rsidR="004E7A86" w:rsidRPr="0015339C">
        <w:t>of “Building a World Class City for Everyone”</w:t>
      </w:r>
      <w:r w:rsidR="000409F1" w:rsidRPr="0015339C">
        <w:t>.</w:t>
      </w:r>
      <w:r w:rsidR="004E7A86" w:rsidRPr="0015339C">
        <w:t xml:space="preserve"> </w:t>
      </w:r>
    </w:p>
    <w:p w14:paraId="59A05ACC" w14:textId="77777777" w:rsidR="007B3F5D" w:rsidRPr="002C2483" w:rsidRDefault="007B3F5D" w:rsidP="00883BF2">
      <w:pPr>
        <w:ind w:right="386" w:firstLine="540"/>
        <w:jc w:val="both"/>
        <w:rPr>
          <w:b/>
          <w:highlight w:val="yellow"/>
        </w:rPr>
      </w:pPr>
    </w:p>
    <w:p w14:paraId="77C82942" w14:textId="77777777" w:rsidR="000D75E5" w:rsidRPr="0015339C" w:rsidRDefault="000D75E5" w:rsidP="00883BF2">
      <w:pPr>
        <w:ind w:right="386" w:firstLine="540"/>
        <w:jc w:val="both"/>
        <w:rPr>
          <w:b/>
        </w:rPr>
      </w:pPr>
      <w:r w:rsidRPr="0015339C">
        <w:rPr>
          <w:b/>
        </w:rPr>
        <w:t>National Economic Position</w:t>
      </w:r>
    </w:p>
    <w:p w14:paraId="54E3D16C" w14:textId="77D30EDF" w:rsidR="00345269" w:rsidRDefault="00670D00" w:rsidP="008B23A8">
      <w:pPr>
        <w:pStyle w:val="NormalWeb"/>
        <w:numPr>
          <w:ilvl w:val="0"/>
          <w:numId w:val="35"/>
        </w:numPr>
        <w:spacing w:before="0" w:beforeAutospacing="0" w:after="0" w:afterAutospacing="0"/>
        <w:ind w:left="567" w:hanging="567"/>
        <w:rPr>
          <w:rFonts w:ascii="Arial" w:hAnsi="Arial" w:cs="Arial"/>
          <w:lang w:val="en"/>
        </w:rPr>
      </w:pPr>
      <w:r w:rsidRPr="008B23A8">
        <w:rPr>
          <w:rFonts w:ascii="Arial" w:hAnsi="Arial" w:cs="Arial"/>
        </w:rPr>
        <w:t xml:space="preserve">When the previous Chancellor delivered his Summer Budget in March 2016 there was talk of </w:t>
      </w:r>
      <w:r w:rsidRPr="008B23A8">
        <w:rPr>
          <w:rFonts w:ascii="Arial" w:hAnsi="Arial" w:cs="Arial"/>
          <w:lang w:val="en"/>
        </w:rPr>
        <w:t>the budget deficit having been cut by almost two thirds from its peak</w:t>
      </w:r>
      <w:r w:rsidR="0015339C" w:rsidRPr="008B23A8">
        <w:rPr>
          <w:rFonts w:ascii="Arial" w:hAnsi="Arial" w:cs="Arial"/>
          <w:lang w:val="en"/>
        </w:rPr>
        <w:t xml:space="preserve"> and </w:t>
      </w:r>
      <w:r w:rsidRPr="008B23A8">
        <w:rPr>
          <w:rFonts w:ascii="Arial" w:hAnsi="Arial" w:cs="Arial"/>
          <w:lang w:val="en"/>
        </w:rPr>
        <w:t xml:space="preserve">the plan was that over the next 4 years, the deficit would be eliminated and the government would be running a surplus by 2019. </w:t>
      </w:r>
      <w:r w:rsidR="007B4B22" w:rsidRPr="008B23A8">
        <w:rPr>
          <w:rFonts w:ascii="Arial" w:hAnsi="Arial" w:cs="Arial"/>
          <w:lang w:val="en"/>
        </w:rPr>
        <w:t xml:space="preserve">The </w:t>
      </w:r>
      <w:r w:rsidR="00DE5B9C">
        <w:rPr>
          <w:rFonts w:ascii="Arial" w:hAnsi="Arial" w:cs="Arial"/>
          <w:lang w:val="en"/>
        </w:rPr>
        <w:t>“</w:t>
      </w:r>
      <w:r w:rsidR="007B4B22" w:rsidRPr="008B23A8">
        <w:rPr>
          <w:rFonts w:ascii="Arial" w:hAnsi="Arial" w:cs="Arial"/>
          <w:lang w:val="en"/>
        </w:rPr>
        <w:t>Brexit</w:t>
      </w:r>
      <w:r w:rsidR="00DE5B9C">
        <w:rPr>
          <w:rFonts w:ascii="Arial" w:hAnsi="Arial" w:cs="Arial"/>
          <w:lang w:val="en"/>
        </w:rPr>
        <w:t>”</w:t>
      </w:r>
      <w:r w:rsidR="007B4B22" w:rsidRPr="008B23A8">
        <w:rPr>
          <w:rFonts w:ascii="Arial" w:hAnsi="Arial" w:cs="Arial"/>
          <w:lang w:val="en"/>
        </w:rPr>
        <w:t xml:space="preserve"> vote in June 2016 took many by surprise and the new Chancellor, </w:t>
      </w:r>
      <w:r w:rsidR="005233CF">
        <w:rPr>
          <w:rFonts w:ascii="Arial" w:hAnsi="Arial" w:cs="Arial"/>
          <w:lang w:val="en"/>
        </w:rPr>
        <w:t>Phillip</w:t>
      </w:r>
      <w:r w:rsidR="007B4B22" w:rsidRPr="008B23A8">
        <w:rPr>
          <w:rFonts w:ascii="Arial" w:hAnsi="Arial" w:cs="Arial"/>
          <w:lang w:val="en"/>
        </w:rPr>
        <w:t xml:space="preserve"> Hammond in October 2016</w:t>
      </w:r>
      <w:r w:rsidR="0015339C" w:rsidRPr="008B23A8">
        <w:rPr>
          <w:rFonts w:ascii="Arial" w:hAnsi="Arial" w:cs="Arial"/>
          <w:lang w:val="en"/>
        </w:rPr>
        <w:t xml:space="preserve"> was quick to </w:t>
      </w:r>
      <w:r w:rsidR="007B4B22" w:rsidRPr="008B23A8">
        <w:rPr>
          <w:rFonts w:ascii="Arial" w:hAnsi="Arial" w:cs="Arial"/>
          <w:lang w:val="en"/>
        </w:rPr>
        <w:t xml:space="preserve">announce that he would </w:t>
      </w:r>
      <w:r w:rsidR="001E172C">
        <w:rPr>
          <w:rFonts w:ascii="Arial" w:hAnsi="Arial" w:cs="Arial"/>
          <w:lang w:val="en"/>
        </w:rPr>
        <w:t>abandon</w:t>
      </w:r>
      <w:r w:rsidR="007B4B22" w:rsidRPr="008B23A8">
        <w:rPr>
          <w:rFonts w:ascii="Arial" w:hAnsi="Arial" w:cs="Arial"/>
          <w:lang w:val="en"/>
        </w:rPr>
        <w:t xml:space="preserve"> this plan to bring the deficit under control </w:t>
      </w:r>
      <w:r w:rsidR="0015339C" w:rsidRPr="008B23A8">
        <w:rPr>
          <w:rFonts w:ascii="Arial" w:hAnsi="Arial" w:cs="Arial"/>
          <w:lang w:val="en"/>
        </w:rPr>
        <w:t xml:space="preserve">within this time period </w:t>
      </w:r>
      <w:r w:rsidR="007B4B22" w:rsidRPr="008B23A8">
        <w:rPr>
          <w:rFonts w:ascii="Arial" w:hAnsi="Arial" w:cs="Arial"/>
          <w:lang w:val="en"/>
        </w:rPr>
        <w:t xml:space="preserve">as he admitted that the Brexit vote would create a ‘rollercoaster’ of a ride for the </w:t>
      </w:r>
      <w:r w:rsidR="0015339C" w:rsidRPr="008B23A8">
        <w:rPr>
          <w:rFonts w:ascii="Arial" w:hAnsi="Arial" w:cs="Arial"/>
          <w:lang w:val="en"/>
        </w:rPr>
        <w:t>British</w:t>
      </w:r>
      <w:r w:rsidR="007B4B22" w:rsidRPr="008B23A8">
        <w:rPr>
          <w:rFonts w:ascii="Arial" w:hAnsi="Arial" w:cs="Arial"/>
          <w:lang w:val="en"/>
        </w:rPr>
        <w:t xml:space="preserve"> </w:t>
      </w:r>
      <w:r w:rsidR="0015339C" w:rsidRPr="008B23A8">
        <w:rPr>
          <w:rFonts w:ascii="Arial" w:hAnsi="Arial" w:cs="Arial"/>
          <w:lang w:val="en"/>
        </w:rPr>
        <w:t>economy</w:t>
      </w:r>
      <w:r w:rsidR="007B4B22" w:rsidRPr="008B23A8">
        <w:rPr>
          <w:rFonts w:ascii="Arial" w:hAnsi="Arial" w:cs="Arial"/>
          <w:lang w:val="en"/>
        </w:rPr>
        <w:t xml:space="preserve">. </w:t>
      </w:r>
    </w:p>
    <w:p w14:paraId="42E5ED3B" w14:textId="77777777" w:rsidR="008B23A8" w:rsidRPr="008B23A8" w:rsidRDefault="008B23A8" w:rsidP="008B23A8">
      <w:pPr>
        <w:pStyle w:val="NormalWeb"/>
        <w:spacing w:before="0" w:beforeAutospacing="0" w:after="0" w:afterAutospacing="0"/>
        <w:ind w:left="567"/>
        <w:rPr>
          <w:rFonts w:ascii="Arial" w:hAnsi="Arial" w:cs="Arial"/>
          <w:lang w:val="en"/>
        </w:rPr>
      </w:pPr>
    </w:p>
    <w:p w14:paraId="09CAD7D7" w14:textId="77777777" w:rsidR="009D7647" w:rsidRPr="0015339C" w:rsidRDefault="007B4B22" w:rsidP="008B23A8">
      <w:pPr>
        <w:pStyle w:val="NormalWeb"/>
        <w:numPr>
          <w:ilvl w:val="0"/>
          <w:numId w:val="35"/>
        </w:numPr>
        <w:spacing w:before="0" w:beforeAutospacing="0" w:after="0" w:afterAutospacing="0"/>
        <w:ind w:left="567" w:hanging="567"/>
        <w:rPr>
          <w:rFonts w:ascii="Arial" w:hAnsi="Arial" w:cs="Arial"/>
        </w:rPr>
      </w:pPr>
      <w:r w:rsidRPr="0015339C">
        <w:rPr>
          <w:rFonts w:ascii="Arial" w:hAnsi="Arial" w:cs="Arial"/>
          <w:lang w:val="en"/>
        </w:rPr>
        <w:t xml:space="preserve">Many of the plans announced by the previous </w:t>
      </w:r>
      <w:r w:rsidR="00F4340C" w:rsidRPr="0015339C">
        <w:rPr>
          <w:rFonts w:ascii="Arial" w:hAnsi="Arial" w:cs="Arial"/>
        </w:rPr>
        <w:t xml:space="preserve">Chancellor </w:t>
      </w:r>
      <w:r w:rsidRPr="0015339C">
        <w:rPr>
          <w:rFonts w:ascii="Arial" w:hAnsi="Arial" w:cs="Arial"/>
        </w:rPr>
        <w:t xml:space="preserve">remain in force </w:t>
      </w:r>
      <w:r w:rsidR="00AB541D" w:rsidRPr="0015339C">
        <w:rPr>
          <w:rFonts w:ascii="Arial" w:hAnsi="Arial" w:cs="Arial"/>
        </w:rPr>
        <w:t>includ</w:t>
      </w:r>
      <w:r w:rsidRPr="0015339C">
        <w:rPr>
          <w:rFonts w:ascii="Arial" w:hAnsi="Arial" w:cs="Arial"/>
        </w:rPr>
        <w:t>ing</w:t>
      </w:r>
      <w:r w:rsidR="00AB541D" w:rsidRPr="0015339C">
        <w:rPr>
          <w:rFonts w:ascii="Arial" w:hAnsi="Arial" w:cs="Arial"/>
        </w:rPr>
        <w:t>:</w:t>
      </w:r>
    </w:p>
    <w:p w14:paraId="45C6F9B2" w14:textId="77777777" w:rsidR="00494BE1" w:rsidRPr="00CD50A9" w:rsidRDefault="00ED6871" w:rsidP="00302C27">
      <w:pPr>
        <w:pStyle w:val="NormalWeb"/>
        <w:numPr>
          <w:ilvl w:val="0"/>
          <w:numId w:val="14"/>
        </w:numPr>
        <w:ind w:left="1281" w:hanging="357"/>
        <w:rPr>
          <w:rFonts w:ascii="Arial" w:hAnsi="Arial" w:cs="Arial"/>
        </w:rPr>
      </w:pPr>
      <w:r w:rsidRPr="00CD50A9">
        <w:rPr>
          <w:rFonts w:ascii="Arial" w:hAnsi="Arial" w:cs="Arial"/>
        </w:rPr>
        <w:t>A p</w:t>
      </w:r>
      <w:r w:rsidR="009D7647" w:rsidRPr="00CD50A9">
        <w:rPr>
          <w:rFonts w:ascii="Arial" w:hAnsi="Arial" w:cs="Arial"/>
        </w:rPr>
        <w:t xml:space="preserve">ublic sector pay </w:t>
      </w:r>
      <w:r w:rsidRPr="00CD50A9">
        <w:rPr>
          <w:rFonts w:ascii="Arial" w:hAnsi="Arial" w:cs="Arial"/>
        </w:rPr>
        <w:t>cap of</w:t>
      </w:r>
      <w:r w:rsidR="009D7647" w:rsidRPr="00CD50A9">
        <w:rPr>
          <w:rFonts w:ascii="Arial" w:hAnsi="Arial" w:cs="Arial"/>
        </w:rPr>
        <w:t xml:space="preserve"> 1% a year for 4 years from 2016-17</w:t>
      </w:r>
      <w:r w:rsidR="00733F89" w:rsidRPr="00CD50A9">
        <w:rPr>
          <w:rFonts w:ascii="Arial" w:hAnsi="Arial" w:cs="Arial"/>
        </w:rPr>
        <w:t xml:space="preserve"> </w:t>
      </w:r>
    </w:p>
    <w:p w14:paraId="7D65EA0B" w14:textId="76EE6AA8" w:rsidR="00312FCA" w:rsidRPr="00CD50A9" w:rsidRDefault="007D73B9" w:rsidP="00302C27">
      <w:pPr>
        <w:pStyle w:val="NormalWeb"/>
        <w:numPr>
          <w:ilvl w:val="0"/>
          <w:numId w:val="14"/>
        </w:numPr>
        <w:ind w:left="1281" w:hanging="357"/>
        <w:rPr>
          <w:rFonts w:ascii="Arial" w:hAnsi="Arial" w:cs="Arial"/>
        </w:rPr>
      </w:pPr>
      <w:r w:rsidRPr="00CD50A9">
        <w:rPr>
          <w:rFonts w:ascii="Arial" w:hAnsi="Arial" w:cs="Arial"/>
        </w:rPr>
        <w:t>The</w:t>
      </w:r>
      <w:r w:rsidR="00312FCA" w:rsidRPr="00CD50A9">
        <w:rPr>
          <w:rFonts w:ascii="Arial" w:hAnsi="Arial" w:cs="Arial"/>
        </w:rPr>
        <w:t xml:space="preserve"> </w:t>
      </w:r>
      <w:r w:rsidR="00ED6871" w:rsidRPr="00CD50A9">
        <w:rPr>
          <w:rFonts w:ascii="Arial" w:hAnsi="Arial" w:cs="Arial"/>
        </w:rPr>
        <w:t xml:space="preserve">reduction of the </w:t>
      </w:r>
      <w:r w:rsidR="00DE5B9C">
        <w:rPr>
          <w:rFonts w:ascii="Arial" w:hAnsi="Arial" w:cs="Arial"/>
        </w:rPr>
        <w:t xml:space="preserve">household </w:t>
      </w:r>
      <w:r w:rsidR="00ED6871" w:rsidRPr="00CD50A9">
        <w:rPr>
          <w:rFonts w:ascii="Arial" w:hAnsi="Arial" w:cs="Arial"/>
        </w:rPr>
        <w:t>benef</w:t>
      </w:r>
      <w:r w:rsidR="00312FCA" w:rsidRPr="00CD50A9">
        <w:rPr>
          <w:rFonts w:ascii="Arial" w:hAnsi="Arial" w:cs="Arial"/>
        </w:rPr>
        <w:t>it cap</w:t>
      </w:r>
      <w:r w:rsidRPr="00CD50A9">
        <w:rPr>
          <w:rFonts w:ascii="Arial" w:hAnsi="Arial" w:cs="Arial"/>
        </w:rPr>
        <w:t xml:space="preserve"> to</w:t>
      </w:r>
      <w:r w:rsidR="00312FCA" w:rsidRPr="00CD50A9">
        <w:rPr>
          <w:rFonts w:ascii="Arial" w:hAnsi="Arial" w:cs="Arial"/>
        </w:rPr>
        <w:t xml:space="preserve"> £20,000 outside London</w:t>
      </w:r>
      <w:r w:rsidR="00ED6871" w:rsidRPr="00CD50A9">
        <w:rPr>
          <w:rFonts w:ascii="Arial" w:hAnsi="Arial" w:cs="Arial"/>
        </w:rPr>
        <w:t xml:space="preserve">. The reduction </w:t>
      </w:r>
      <w:r w:rsidR="006B6A01">
        <w:rPr>
          <w:rFonts w:ascii="Arial" w:hAnsi="Arial" w:cs="Arial"/>
        </w:rPr>
        <w:t>will</w:t>
      </w:r>
      <w:r w:rsidR="00157316">
        <w:rPr>
          <w:rFonts w:ascii="Arial" w:hAnsi="Arial" w:cs="Arial"/>
        </w:rPr>
        <w:t xml:space="preserve"> </w:t>
      </w:r>
      <w:r w:rsidR="00F25E11" w:rsidRPr="00CD50A9">
        <w:rPr>
          <w:rFonts w:ascii="Arial" w:hAnsi="Arial" w:cs="Arial"/>
          <w:color w:val="000000"/>
        </w:rPr>
        <w:t xml:space="preserve">affect 300-350 households in Oxford with over £1m annually being cut from the </w:t>
      </w:r>
      <w:r w:rsidR="006E28AA">
        <w:rPr>
          <w:rFonts w:ascii="Arial" w:hAnsi="Arial" w:cs="Arial"/>
          <w:color w:val="000000"/>
        </w:rPr>
        <w:t>Housing Benefit</w:t>
      </w:r>
      <w:r w:rsidR="00F25E11" w:rsidRPr="00CD50A9">
        <w:rPr>
          <w:rFonts w:ascii="Arial" w:hAnsi="Arial" w:cs="Arial"/>
          <w:color w:val="000000"/>
        </w:rPr>
        <w:t xml:space="preserve"> of those affected</w:t>
      </w:r>
      <w:r w:rsidR="0015339C" w:rsidRPr="00CD50A9">
        <w:rPr>
          <w:rFonts w:ascii="Arial" w:hAnsi="Arial" w:cs="Arial"/>
        </w:rPr>
        <w:t xml:space="preserve"> </w:t>
      </w:r>
    </w:p>
    <w:p w14:paraId="49D093AB" w14:textId="77777777" w:rsidR="00312FCA" w:rsidRPr="0015339C" w:rsidRDefault="00312FCA" w:rsidP="00302C27">
      <w:pPr>
        <w:pStyle w:val="NormalWeb"/>
        <w:numPr>
          <w:ilvl w:val="0"/>
          <w:numId w:val="14"/>
        </w:numPr>
        <w:ind w:left="1281" w:hanging="357"/>
        <w:rPr>
          <w:rFonts w:ascii="Arial" w:hAnsi="Arial" w:cs="Arial"/>
        </w:rPr>
      </w:pPr>
      <w:r w:rsidRPr="00CD50A9">
        <w:rPr>
          <w:rFonts w:ascii="Arial" w:hAnsi="Arial" w:cs="Arial"/>
        </w:rPr>
        <w:t>Rents in social housing reduced by 1% a y</w:t>
      </w:r>
      <w:r w:rsidRPr="0015339C">
        <w:rPr>
          <w:rFonts w:ascii="Arial" w:hAnsi="Arial" w:cs="Arial"/>
        </w:rPr>
        <w:t>ear for four years</w:t>
      </w:r>
      <w:r w:rsidR="0015339C" w:rsidRPr="0015339C">
        <w:rPr>
          <w:rFonts w:ascii="Arial" w:hAnsi="Arial" w:cs="Arial"/>
        </w:rPr>
        <w:t xml:space="preserve"> with effect from 1/4/2016</w:t>
      </w:r>
      <w:r w:rsidRPr="0015339C">
        <w:rPr>
          <w:rFonts w:ascii="Arial" w:hAnsi="Arial" w:cs="Arial"/>
        </w:rPr>
        <w:t xml:space="preserve">. </w:t>
      </w:r>
    </w:p>
    <w:p w14:paraId="61BDE1B5" w14:textId="3C67A972" w:rsidR="00C81B7D" w:rsidRDefault="00545D50" w:rsidP="00C81B7D">
      <w:pPr>
        <w:pStyle w:val="NormalWeb"/>
        <w:numPr>
          <w:ilvl w:val="0"/>
          <w:numId w:val="14"/>
        </w:numPr>
        <w:rPr>
          <w:rFonts w:ascii="Arial" w:hAnsi="Arial" w:cs="Arial"/>
          <w:lang w:val="en" w:eastAsia="en-GB"/>
        </w:rPr>
      </w:pPr>
      <w:r>
        <w:rPr>
          <w:rFonts w:ascii="Arial" w:hAnsi="Arial" w:cs="Arial"/>
          <w:lang w:eastAsia="en-GB"/>
        </w:rPr>
        <w:t>An a</w:t>
      </w:r>
      <w:r w:rsidR="00E50193">
        <w:rPr>
          <w:rFonts w:ascii="Arial" w:hAnsi="Arial" w:cs="Arial"/>
          <w:lang w:eastAsia="en-GB"/>
        </w:rPr>
        <w:t>pprenti</w:t>
      </w:r>
      <w:r w:rsidR="00DE5B9C">
        <w:rPr>
          <w:rFonts w:ascii="Arial" w:hAnsi="Arial" w:cs="Arial"/>
          <w:lang w:eastAsia="en-GB"/>
        </w:rPr>
        <w:t>ces</w:t>
      </w:r>
      <w:r w:rsidR="00E50193">
        <w:rPr>
          <w:rFonts w:ascii="Arial" w:hAnsi="Arial" w:cs="Arial"/>
          <w:lang w:eastAsia="en-GB"/>
        </w:rPr>
        <w:t>hip</w:t>
      </w:r>
      <w:r w:rsidR="00C81B7D" w:rsidRPr="00345269">
        <w:rPr>
          <w:rFonts w:ascii="Arial" w:hAnsi="Arial" w:cs="Arial"/>
          <w:lang w:val="en" w:eastAsia="en-GB"/>
        </w:rPr>
        <w:t xml:space="preserve"> levy set at 0.5% of employer wage bill with £15,000 allowance for eligible businesses from April 2017</w:t>
      </w:r>
      <w:r w:rsidR="00DE5B9C">
        <w:rPr>
          <w:rFonts w:ascii="Arial" w:hAnsi="Arial" w:cs="Arial"/>
          <w:lang w:val="en" w:eastAsia="en-GB"/>
        </w:rPr>
        <w:t>.</w:t>
      </w:r>
      <w:r w:rsidR="00101448">
        <w:rPr>
          <w:rFonts w:ascii="Arial" w:hAnsi="Arial" w:cs="Arial"/>
          <w:lang w:eastAsia="en-GB"/>
        </w:rPr>
        <w:t xml:space="preserve"> </w:t>
      </w:r>
      <w:r w:rsidR="00DE5B9C">
        <w:rPr>
          <w:rFonts w:ascii="Arial" w:hAnsi="Arial" w:cs="Arial"/>
          <w:lang w:eastAsia="en-GB"/>
        </w:rPr>
        <w:t>T</w:t>
      </w:r>
      <w:r w:rsidR="00101448">
        <w:rPr>
          <w:rFonts w:ascii="Arial" w:hAnsi="Arial" w:cs="Arial"/>
          <w:lang w:eastAsia="en-GB"/>
        </w:rPr>
        <w:t xml:space="preserve">his will </w:t>
      </w:r>
      <w:r w:rsidR="00ED6871">
        <w:rPr>
          <w:rFonts w:ascii="Arial" w:hAnsi="Arial" w:cs="Arial"/>
          <w:lang w:val="en" w:eastAsia="en-GB"/>
        </w:rPr>
        <w:t>cost</w:t>
      </w:r>
      <w:r w:rsidR="00101448">
        <w:rPr>
          <w:rFonts w:ascii="Arial" w:hAnsi="Arial" w:cs="Arial"/>
          <w:lang w:eastAsia="en-GB"/>
        </w:rPr>
        <w:t xml:space="preserve"> </w:t>
      </w:r>
      <w:r w:rsidR="00ED6871">
        <w:rPr>
          <w:rFonts w:ascii="Arial" w:hAnsi="Arial" w:cs="Arial"/>
          <w:lang w:val="en" w:eastAsia="en-GB"/>
        </w:rPr>
        <w:t>the Council £175k per annum</w:t>
      </w:r>
    </w:p>
    <w:p w14:paraId="0F7C9FAE" w14:textId="6FDC5C7E" w:rsidR="00C05A2E" w:rsidRDefault="00ED6871" w:rsidP="00C05A2E">
      <w:pPr>
        <w:pStyle w:val="NormalWeb"/>
        <w:numPr>
          <w:ilvl w:val="0"/>
          <w:numId w:val="35"/>
        </w:numPr>
        <w:spacing w:before="0" w:beforeAutospacing="0" w:after="0" w:afterAutospacing="0"/>
        <w:ind w:left="567" w:hanging="567"/>
        <w:rPr>
          <w:rFonts w:ascii="Arial" w:hAnsi="Arial" w:cs="Arial"/>
          <w:lang w:val="en" w:eastAsia="en-GB"/>
        </w:rPr>
      </w:pPr>
      <w:r>
        <w:rPr>
          <w:rFonts w:ascii="Arial" w:hAnsi="Arial" w:cs="Arial"/>
          <w:lang w:val="en" w:eastAsia="en-GB"/>
        </w:rPr>
        <w:t xml:space="preserve">The Autumn Statement </w:t>
      </w:r>
      <w:r w:rsidR="00157316">
        <w:rPr>
          <w:rFonts w:ascii="Arial" w:hAnsi="Arial" w:cs="Arial"/>
          <w:lang w:val="en" w:eastAsia="en-GB"/>
        </w:rPr>
        <w:t>delivered o</w:t>
      </w:r>
      <w:r>
        <w:rPr>
          <w:rFonts w:ascii="Arial" w:hAnsi="Arial" w:cs="Arial"/>
          <w:lang w:val="en" w:eastAsia="en-GB"/>
        </w:rPr>
        <w:t>n 23</w:t>
      </w:r>
      <w:r w:rsidRPr="001D7AD9">
        <w:rPr>
          <w:rFonts w:ascii="Arial" w:hAnsi="Arial" w:cs="Arial"/>
          <w:vertAlign w:val="superscript"/>
          <w:lang w:val="en" w:eastAsia="en-GB"/>
        </w:rPr>
        <w:t>rd</w:t>
      </w:r>
      <w:r>
        <w:rPr>
          <w:rFonts w:ascii="Arial" w:hAnsi="Arial" w:cs="Arial"/>
          <w:lang w:val="en" w:eastAsia="en-GB"/>
        </w:rPr>
        <w:t xml:space="preserve"> November</w:t>
      </w:r>
      <w:r w:rsidR="00DE5B9C">
        <w:rPr>
          <w:rFonts w:ascii="Arial" w:hAnsi="Arial" w:cs="Arial"/>
          <w:lang w:val="en" w:eastAsia="en-GB"/>
        </w:rPr>
        <w:t xml:space="preserve"> 2016</w:t>
      </w:r>
      <w:r>
        <w:rPr>
          <w:rFonts w:ascii="Arial" w:hAnsi="Arial" w:cs="Arial"/>
          <w:lang w:val="en" w:eastAsia="en-GB"/>
        </w:rPr>
        <w:t xml:space="preserve"> </w:t>
      </w:r>
      <w:r w:rsidR="00C05A2E">
        <w:rPr>
          <w:rFonts w:ascii="Arial" w:hAnsi="Arial" w:cs="Arial"/>
          <w:lang w:val="en" w:eastAsia="en-GB"/>
        </w:rPr>
        <w:t>included a substantial re-forecasting of Government finances since the Budget in 2016.  The Chancellor announced that the Government will no longer seek to deliver a budget surplus of £10.4 billion by the end of the Parliament</w:t>
      </w:r>
      <w:r w:rsidR="0035066A">
        <w:rPr>
          <w:rFonts w:ascii="Arial" w:hAnsi="Arial" w:cs="Arial"/>
          <w:lang w:val="en" w:eastAsia="en-GB"/>
        </w:rPr>
        <w:t>,</w:t>
      </w:r>
      <w:r w:rsidR="00C05A2E">
        <w:rPr>
          <w:rFonts w:ascii="Arial" w:hAnsi="Arial" w:cs="Arial"/>
          <w:lang w:val="en" w:eastAsia="en-GB"/>
        </w:rPr>
        <w:t xml:space="preserve"> but is now planning for a £21.9 billion deficit</w:t>
      </w:r>
      <w:r w:rsidR="0035066A">
        <w:rPr>
          <w:rFonts w:ascii="Arial" w:hAnsi="Arial" w:cs="Arial"/>
          <w:lang w:val="en" w:eastAsia="en-GB"/>
        </w:rPr>
        <w:t>,</w:t>
      </w:r>
      <w:r w:rsidR="00C05A2E">
        <w:rPr>
          <w:rFonts w:ascii="Arial" w:hAnsi="Arial" w:cs="Arial"/>
          <w:lang w:val="en" w:eastAsia="en-GB"/>
        </w:rPr>
        <w:t xml:space="preserve"> an increase in public sector net borrowing for 2019-20 of £32.3 billion. The Chancellor did also state that public finances would return to a surplus as ‘early as possible.’ Additionally there was :</w:t>
      </w:r>
    </w:p>
    <w:p w14:paraId="7EB9BD4E" w14:textId="77777777" w:rsidR="00C05A2E" w:rsidRDefault="00C05A2E" w:rsidP="00C05A2E">
      <w:pPr>
        <w:pStyle w:val="NormalWeb"/>
        <w:spacing w:before="0" w:beforeAutospacing="0" w:after="0" w:afterAutospacing="0"/>
        <w:rPr>
          <w:rFonts w:ascii="Arial" w:hAnsi="Arial" w:cs="Arial"/>
          <w:lang w:val="en" w:eastAsia="en-GB"/>
        </w:rPr>
      </w:pPr>
    </w:p>
    <w:p w14:paraId="781B836C" w14:textId="56B61106" w:rsidR="006320F9" w:rsidRDefault="00B1285C" w:rsidP="00C05A2E">
      <w:pPr>
        <w:pStyle w:val="NormalWeb"/>
        <w:numPr>
          <w:ilvl w:val="0"/>
          <w:numId w:val="39"/>
        </w:numPr>
        <w:spacing w:before="0" w:beforeAutospacing="0" w:after="0" w:afterAutospacing="0"/>
        <w:ind w:left="1418" w:hanging="425"/>
        <w:rPr>
          <w:rFonts w:ascii="Arial" w:eastAsia="Calibri" w:hAnsi="Arial" w:cs="Arial"/>
        </w:rPr>
      </w:pPr>
      <w:r>
        <w:rPr>
          <w:rFonts w:ascii="Arial" w:eastAsia="Calibri" w:hAnsi="Arial" w:cs="Arial"/>
        </w:rPr>
        <w:t>A three year Revenue Support Grant funding deal in exchange for the submission of an efficiency statement</w:t>
      </w:r>
      <w:r w:rsidR="004E5B16">
        <w:rPr>
          <w:rFonts w:ascii="Arial" w:eastAsia="Calibri" w:hAnsi="Arial" w:cs="Arial"/>
        </w:rPr>
        <w:t>, though with RSG ending as planned</w:t>
      </w:r>
    </w:p>
    <w:p w14:paraId="77435927" w14:textId="788837B9" w:rsidR="006320F9" w:rsidRDefault="00C05A2E" w:rsidP="00C05A2E">
      <w:pPr>
        <w:pStyle w:val="NormalWeb"/>
        <w:numPr>
          <w:ilvl w:val="0"/>
          <w:numId w:val="39"/>
        </w:numPr>
        <w:spacing w:before="0" w:beforeAutospacing="0" w:after="0" w:afterAutospacing="0"/>
        <w:ind w:left="1418" w:hanging="425"/>
        <w:rPr>
          <w:rFonts w:ascii="Arial" w:eastAsia="Calibri" w:hAnsi="Arial" w:cs="Arial"/>
        </w:rPr>
      </w:pPr>
      <w:r>
        <w:rPr>
          <w:rFonts w:ascii="Arial" w:eastAsia="Calibri" w:hAnsi="Arial" w:cs="Arial"/>
        </w:rPr>
        <w:t>A</w:t>
      </w:r>
      <w:r w:rsidR="006320F9">
        <w:rPr>
          <w:rFonts w:ascii="Arial" w:eastAsia="Calibri" w:hAnsi="Arial" w:cs="Arial"/>
        </w:rPr>
        <w:t xml:space="preserve">n additional £1.1 </w:t>
      </w:r>
      <w:proofErr w:type="spellStart"/>
      <w:r w:rsidR="006320F9">
        <w:rPr>
          <w:rFonts w:ascii="Arial" w:eastAsia="Calibri" w:hAnsi="Arial" w:cs="Arial"/>
        </w:rPr>
        <w:t>bn</w:t>
      </w:r>
      <w:proofErr w:type="spellEnd"/>
      <w:r w:rsidR="006320F9">
        <w:rPr>
          <w:rFonts w:ascii="Arial" w:eastAsia="Calibri" w:hAnsi="Arial" w:cs="Arial"/>
        </w:rPr>
        <w:t xml:space="preserve"> for local transport networks </w:t>
      </w:r>
    </w:p>
    <w:p w14:paraId="4C88CDBF" w14:textId="69B2967F" w:rsidR="00ED6871" w:rsidRDefault="006320F9" w:rsidP="00C05A2E">
      <w:pPr>
        <w:pStyle w:val="NormalWeb"/>
        <w:numPr>
          <w:ilvl w:val="0"/>
          <w:numId w:val="39"/>
        </w:numPr>
        <w:spacing w:before="0" w:beforeAutospacing="0" w:after="0" w:afterAutospacing="0"/>
        <w:ind w:left="1418" w:hanging="425"/>
        <w:rPr>
          <w:rFonts w:ascii="Arial" w:eastAsia="Calibri" w:hAnsi="Arial" w:cs="Arial"/>
        </w:rPr>
      </w:pPr>
      <w:r>
        <w:rPr>
          <w:rFonts w:ascii="Arial" w:eastAsia="Calibri" w:hAnsi="Arial" w:cs="Arial"/>
        </w:rPr>
        <w:t>£23bn on innovation and infrastructure over the next 5 years</w:t>
      </w:r>
    </w:p>
    <w:p w14:paraId="19B7DF99" w14:textId="53DDA903" w:rsidR="00C05A2E" w:rsidRDefault="00C05A2E" w:rsidP="00C05A2E">
      <w:pPr>
        <w:pStyle w:val="NormalWeb"/>
        <w:numPr>
          <w:ilvl w:val="0"/>
          <w:numId w:val="39"/>
        </w:numPr>
        <w:spacing w:before="0" w:beforeAutospacing="0" w:after="0" w:afterAutospacing="0"/>
        <w:ind w:left="1418" w:hanging="425"/>
        <w:rPr>
          <w:rFonts w:ascii="Arial" w:eastAsia="Calibri" w:hAnsi="Arial" w:cs="Arial"/>
        </w:rPr>
      </w:pPr>
      <w:r>
        <w:rPr>
          <w:rFonts w:ascii="Arial" w:eastAsia="Calibri" w:hAnsi="Arial" w:cs="Arial"/>
        </w:rPr>
        <w:t>No re-opening of the individual Departmental Expenditure Limits agreed at the last Spending Review</w:t>
      </w:r>
    </w:p>
    <w:p w14:paraId="37201AD8" w14:textId="317FFD12" w:rsidR="006320F9" w:rsidRDefault="006320F9" w:rsidP="00C05A2E">
      <w:pPr>
        <w:pStyle w:val="NormalWeb"/>
        <w:numPr>
          <w:ilvl w:val="0"/>
          <w:numId w:val="39"/>
        </w:numPr>
        <w:spacing w:before="0" w:beforeAutospacing="0" w:after="0" w:afterAutospacing="0"/>
        <w:ind w:left="1418" w:hanging="425"/>
        <w:rPr>
          <w:rFonts w:ascii="Arial" w:eastAsia="Calibri" w:hAnsi="Arial" w:cs="Arial"/>
        </w:rPr>
      </w:pPr>
      <w:r>
        <w:rPr>
          <w:rFonts w:ascii="Arial" w:eastAsia="Calibri" w:hAnsi="Arial" w:cs="Arial"/>
        </w:rPr>
        <w:t xml:space="preserve">An increase in the </w:t>
      </w:r>
      <w:r w:rsidR="00DE5B9C">
        <w:rPr>
          <w:rFonts w:ascii="Arial" w:eastAsia="Calibri" w:hAnsi="Arial" w:cs="Arial"/>
        </w:rPr>
        <w:t>“</w:t>
      </w:r>
      <w:r>
        <w:rPr>
          <w:rFonts w:ascii="Arial" w:eastAsia="Calibri" w:hAnsi="Arial" w:cs="Arial"/>
        </w:rPr>
        <w:t>National Living Wage</w:t>
      </w:r>
      <w:r w:rsidR="00DE5B9C">
        <w:rPr>
          <w:rFonts w:ascii="Arial" w:eastAsia="Calibri" w:hAnsi="Arial" w:cs="Arial"/>
        </w:rPr>
        <w:t>”</w:t>
      </w:r>
      <w:r>
        <w:rPr>
          <w:rFonts w:ascii="Arial" w:eastAsia="Calibri" w:hAnsi="Arial" w:cs="Arial"/>
        </w:rPr>
        <w:t xml:space="preserve"> from £7.20 per hour to £7.50 per hour</w:t>
      </w:r>
    </w:p>
    <w:p w14:paraId="31021B2A" w14:textId="72A6BC74" w:rsidR="00DE5B9C" w:rsidRDefault="00DE5B9C" w:rsidP="0081108D">
      <w:pPr>
        <w:pStyle w:val="NormalWeb"/>
        <w:spacing w:before="0" w:beforeAutospacing="0" w:after="0" w:afterAutospacing="0"/>
        <w:rPr>
          <w:rFonts w:ascii="Arial" w:eastAsia="Calibri" w:hAnsi="Arial" w:cs="Arial"/>
        </w:rPr>
      </w:pPr>
      <w:r>
        <w:rPr>
          <w:rFonts w:ascii="Arial" w:eastAsia="Calibri" w:hAnsi="Arial" w:cs="Arial"/>
        </w:rPr>
        <w:t>No additional support was given for social care.</w:t>
      </w:r>
    </w:p>
    <w:p w14:paraId="3749EEEE" w14:textId="77777777" w:rsidR="009410B2" w:rsidRPr="00F142A6" w:rsidRDefault="009410B2" w:rsidP="00ED6871">
      <w:pPr>
        <w:pStyle w:val="NormalWeb"/>
        <w:spacing w:before="0" w:beforeAutospacing="0" w:after="0" w:afterAutospacing="0"/>
        <w:ind w:left="1287"/>
        <w:rPr>
          <w:rFonts w:ascii="Arial" w:hAnsi="Arial" w:cs="Arial"/>
        </w:rPr>
      </w:pPr>
    </w:p>
    <w:p w14:paraId="32154968" w14:textId="57C730E1" w:rsidR="006320F9" w:rsidRDefault="006320F9" w:rsidP="009410B2">
      <w:pPr>
        <w:pStyle w:val="NormalWeb"/>
        <w:numPr>
          <w:ilvl w:val="0"/>
          <w:numId w:val="37"/>
        </w:numPr>
        <w:spacing w:before="0" w:beforeAutospacing="0" w:after="0" w:afterAutospacing="0"/>
        <w:ind w:left="426" w:hanging="426"/>
        <w:rPr>
          <w:rFonts w:ascii="Arial" w:hAnsi="Arial" w:cs="Arial"/>
          <w:lang w:val="en" w:eastAsia="en-GB"/>
        </w:rPr>
      </w:pPr>
      <w:r>
        <w:rPr>
          <w:rFonts w:ascii="Arial" w:hAnsi="Arial" w:cs="Arial"/>
          <w:lang w:val="en" w:eastAsia="en-GB"/>
        </w:rPr>
        <w:lastRenderedPageBreak/>
        <w:t>The Council will have to wait until December to understand the impact on Retained Business Rates with any variation to that currently included in the MTFP to be updated in February.</w:t>
      </w:r>
    </w:p>
    <w:p w14:paraId="299A76F5" w14:textId="77777777" w:rsidR="006320F9" w:rsidRDefault="006320F9" w:rsidP="006320F9">
      <w:pPr>
        <w:pStyle w:val="NormalWeb"/>
        <w:spacing w:before="0" w:beforeAutospacing="0" w:after="0" w:afterAutospacing="0"/>
        <w:ind w:left="426"/>
        <w:rPr>
          <w:rFonts w:ascii="Arial" w:hAnsi="Arial" w:cs="Arial"/>
          <w:lang w:val="en" w:eastAsia="en-GB"/>
        </w:rPr>
      </w:pPr>
    </w:p>
    <w:p w14:paraId="2A5FF26F" w14:textId="55E04AA6" w:rsidR="009E7177" w:rsidRDefault="006320F9" w:rsidP="009410B2">
      <w:pPr>
        <w:pStyle w:val="NormalWeb"/>
        <w:numPr>
          <w:ilvl w:val="0"/>
          <w:numId w:val="37"/>
        </w:numPr>
        <w:spacing w:before="0" w:beforeAutospacing="0" w:after="0" w:afterAutospacing="0"/>
        <w:ind w:left="426" w:hanging="426"/>
        <w:rPr>
          <w:rFonts w:ascii="Arial" w:hAnsi="Arial" w:cs="Arial"/>
          <w:lang w:val="en" w:eastAsia="en-GB"/>
        </w:rPr>
      </w:pPr>
      <w:r>
        <w:rPr>
          <w:rFonts w:ascii="Arial" w:hAnsi="Arial" w:cs="Arial"/>
          <w:lang w:val="en" w:eastAsia="en-GB"/>
        </w:rPr>
        <w:t xml:space="preserve">In other announcements </w:t>
      </w:r>
      <w:r w:rsidR="009E7177" w:rsidRPr="009E7177">
        <w:rPr>
          <w:rFonts w:ascii="Arial" w:hAnsi="Arial" w:cs="Arial"/>
          <w:lang w:val="en" w:eastAsia="en-GB"/>
        </w:rPr>
        <w:t xml:space="preserve">ministers have </w:t>
      </w:r>
      <w:r>
        <w:rPr>
          <w:rFonts w:ascii="Arial" w:hAnsi="Arial" w:cs="Arial"/>
          <w:lang w:val="en" w:eastAsia="en-GB"/>
        </w:rPr>
        <w:t xml:space="preserve">recently </w:t>
      </w:r>
      <w:r w:rsidR="009E7177" w:rsidRPr="009E7177">
        <w:rPr>
          <w:rFonts w:ascii="Arial" w:hAnsi="Arial" w:cs="Arial"/>
          <w:lang w:val="en" w:eastAsia="en-GB"/>
        </w:rPr>
        <w:t xml:space="preserve">advised that they intend scrapping the </w:t>
      </w:r>
      <w:r w:rsidR="004734C5">
        <w:rPr>
          <w:rFonts w:ascii="Arial" w:hAnsi="Arial" w:cs="Arial"/>
          <w:lang w:val="en" w:eastAsia="en-GB"/>
        </w:rPr>
        <w:t xml:space="preserve">compulsory </w:t>
      </w:r>
      <w:r w:rsidR="009E7177" w:rsidRPr="009E7177">
        <w:rPr>
          <w:rFonts w:ascii="Arial" w:hAnsi="Arial" w:cs="Arial"/>
          <w:lang w:val="en" w:eastAsia="en-GB"/>
        </w:rPr>
        <w:t xml:space="preserve">‘Pay to Stay’ policy </w:t>
      </w:r>
      <w:r w:rsidR="0066495A">
        <w:rPr>
          <w:rFonts w:ascii="Arial" w:hAnsi="Arial" w:cs="Arial"/>
          <w:lang w:val="en" w:eastAsia="en-GB"/>
        </w:rPr>
        <w:t xml:space="preserve">for Councils in England </w:t>
      </w:r>
      <w:r w:rsidR="009E7177" w:rsidRPr="009E7177">
        <w:rPr>
          <w:rFonts w:ascii="Arial" w:hAnsi="Arial" w:cs="Arial"/>
          <w:lang w:val="en" w:eastAsia="en-GB"/>
        </w:rPr>
        <w:t>which was due for implementation from 1/4/2017</w:t>
      </w:r>
      <w:r w:rsidR="004734C5">
        <w:rPr>
          <w:rFonts w:ascii="Arial" w:hAnsi="Arial" w:cs="Arial"/>
          <w:lang w:val="en" w:eastAsia="en-GB"/>
        </w:rPr>
        <w:t xml:space="preserve">. Housing Associations and local authorities would still have local discretion to implement. In other announcements the Government advised that </w:t>
      </w:r>
      <w:r w:rsidR="0035066A">
        <w:rPr>
          <w:rFonts w:ascii="Arial" w:hAnsi="Arial" w:cs="Arial"/>
          <w:lang w:val="en" w:eastAsia="en-GB"/>
        </w:rPr>
        <w:t>the pilot of Right to Buy for Housing Association tenants</w:t>
      </w:r>
      <w:r w:rsidR="004734C5">
        <w:rPr>
          <w:rFonts w:ascii="Arial" w:hAnsi="Arial" w:cs="Arial"/>
          <w:lang w:val="en" w:eastAsia="en-GB"/>
        </w:rPr>
        <w:t xml:space="preserve"> would be extended</w:t>
      </w:r>
      <w:r w:rsidR="00DE5B9C">
        <w:rPr>
          <w:rFonts w:ascii="Arial" w:hAnsi="Arial" w:cs="Arial"/>
          <w:lang w:val="en" w:eastAsia="en-GB"/>
        </w:rPr>
        <w:t xml:space="preserve"> on a regional basis</w:t>
      </w:r>
      <w:r w:rsidR="0035066A">
        <w:rPr>
          <w:rFonts w:ascii="Arial" w:hAnsi="Arial" w:cs="Arial"/>
          <w:lang w:val="en" w:eastAsia="en-GB"/>
        </w:rPr>
        <w:t xml:space="preserve">, </w:t>
      </w:r>
      <w:r w:rsidR="00DE5B9C">
        <w:rPr>
          <w:rFonts w:ascii="Arial" w:hAnsi="Arial" w:cs="Arial"/>
          <w:lang w:val="en" w:eastAsia="en-GB"/>
        </w:rPr>
        <w:t>using government funding</w:t>
      </w:r>
      <w:r w:rsidR="0035066A">
        <w:rPr>
          <w:rFonts w:ascii="Arial" w:hAnsi="Arial" w:cs="Arial"/>
          <w:lang w:val="en" w:eastAsia="en-GB"/>
        </w:rPr>
        <w:t xml:space="preserve">. As a result the </w:t>
      </w:r>
      <w:r w:rsidR="00DE5B9C">
        <w:rPr>
          <w:rFonts w:ascii="Arial" w:hAnsi="Arial" w:cs="Arial"/>
          <w:lang w:val="en" w:eastAsia="en-GB"/>
        </w:rPr>
        <w:t>requirement for councils to pay a “levy” to government based upon sale receipts from the disposal of “high value” council houses which become empty</w:t>
      </w:r>
      <w:r w:rsidR="0035066A">
        <w:rPr>
          <w:rFonts w:ascii="Arial" w:hAnsi="Arial" w:cs="Arial"/>
          <w:lang w:val="en" w:eastAsia="en-GB"/>
        </w:rPr>
        <w:t xml:space="preserve"> will not implemented in 2017-18.</w:t>
      </w:r>
    </w:p>
    <w:p w14:paraId="3DE45B39" w14:textId="77777777" w:rsidR="009E7177" w:rsidRDefault="009E7177" w:rsidP="009E7177">
      <w:pPr>
        <w:pStyle w:val="NormalWeb"/>
        <w:spacing w:before="0" w:beforeAutospacing="0" w:after="0" w:afterAutospacing="0"/>
        <w:ind w:left="720"/>
        <w:rPr>
          <w:rFonts w:ascii="Arial" w:hAnsi="Arial" w:cs="Arial"/>
          <w:lang w:val="en" w:eastAsia="en-GB"/>
        </w:rPr>
      </w:pPr>
    </w:p>
    <w:p w14:paraId="468C4CE4" w14:textId="77777777" w:rsidR="00370967" w:rsidRPr="0015339C" w:rsidRDefault="00370967" w:rsidP="00370967">
      <w:pPr>
        <w:pStyle w:val="NormalWeb"/>
        <w:spacing w:before="0" w:beforeAutospacing="0" w:after="0" w:afterAutospacing="0"/>
        <w:ind w:left="432"/>
        <w:rPr>
          <w:rFonts w:ascii="Arial" w:hAnsi="Arial" w:cs="Arial"/>
          <w:b/>
          <w:lang w:val="en" w:eastAsia="en-GB"/>
        </w:rPr>
      </w:pPr>
      <w:r w:rsidRPr="0015339C">
        <w:rPr>
          <w:rFonts w:ascii="Arial" w:hAnsi="Arial" w:cs="Arial"/>
          <w:b/>
          <w:lang w:val="en" w:eastAsia="en-GB"/>
        </w:rPr>
        <w:t>Interest Rates</w:t>
      </w:r>
      <w:r w:rsidR="00C51153" w:rsidRPr="0015339C">
        <w:rPr>
          <w:rFonts w:ascii="Arial" w:hAnsi="Arial" w:cs="Arial"/>
          <w:b/>
          <w:lang w:val="en" w:eastAsia="en-GB"/>
        </w:rPr>
        <w:t xml:space="preserve"> and Inflation</w:t>
      </w:r>
    </w:p>
    <w:p w14:paraId="0F6EA8FD" w14:textId="77777777" w:rsidR="00345269" w:rsidRDefault="009410B2" w:rsidP="009410B2">
      <w:pPr>
        <w:numPr>
          <w:ilvl w:val="0"/>
          <w:numId w:val="37"/>
        </w:numPr>
        <w:autoSpaceDE w:val="0"/>
        <w:autoSpaceDN w:val="0"/>
        <w:adjustRightInd w:val="0"/>
        <w:ind w:left="426" w:hanging="426"/>
        <w:jc w:val="both"/>
        <w:rPr>
          <w:rFonts w:cs="Arial"/>
        </w:rPr>
      </w:pPr>
      <w:r>
        <w:rPr>
          <w:rFonts w:cs="Arial"/>
        </w:rPr>
        <w:t>G</w:t>
      </w:r>
      <w:r w:rsidR="00C51153" w:rsidRPr="00730912">
        <w:rPr>
          <w:rFonts w:cs="Arial"/>
        </w:rPr>
        <w:t>rowth slowed in the first two quarters of 2016 and forecasts for the remainder of 2016 have been reduced down</w:t>
      </w:r>
      <w:r>
        <w:rPr>
          <w:rFonts w:cs="Arial"/>
        </w:rPr>
        <w:t xml:space="preserve"> following the Brexit vote</w:t>
      </w:r>
      <w:r w:rsidR="00C51153" w:rsidRPr="00730912">
        <w:rPr>
          <w:rFonts w:cs="Arial"/>
        </w:rPr>
        <w:t>.  To address these concerns the Bank of England’s Monetary Policy Committee (MPC) cut Bank Rate from 0.50% to 0.25%</w:t>
      </w:r>
      <w:r w:rsidR="00C51153">
        <w:rPr>
          <w:rFonts w:cs="Arial"/>
        </w:rPr>
        <w:t xml:space="preserve">. </w:t>
      </w:r>
    </w:p>
    <w:p w14:paraId="2355A371" w14:textId="77777777" w:rsidR="00345269" w:rsidRDefault="00345269" w:rsidP="00345269">
      <w:pPr>
        <w:autoSpaceDE w:val="0"/>
        <w:autoSpaceDN w:val="0"/>
        <w:adjustRightInd w:val="0"/>
        <w:ind w:left="720"/>
        <w:jc w:val="both"/>
        <w:rPr>
          <w:rFonts w:cs="Arial"/>
        </w:rPr>
      </w:pPr>
    </w:p>
    <w:p w14:paraId="276BDC00" w14:textId="7121F596" w:rsidR="00C51153" w:rsidRDefault="00C51153" w:rsidP="009410B2">
      <w:pPr>
        <w:numPr>
          <w:ilvl w:val="0"/>
          <w:numId w:val="37"/>
        </w:numPr>
        <w:autoSpaceDE w:val="0"/>
        <w:autoSpaceDN w:val="0"/>
        <w:adjustRightInd w:val="0"/>
        <w:ind w:left="426" w:hanging="426"/>
        <w:jc w:val="both"/>
        <w:rPr>
          <w:rFonts w:cs="Arial"/>
        </w:rPr>
      </w:pPr>
      <w:r>
        <w:rPr>
          <w:rFonts w:cs="Arial"/>
        </w:rPr>
        <w:t xml:space="preserve">The </w:t>
      </w:r>
      <w:r w:rsidRPr="00730912">
        <w:rPr>
          <w:rFonts w:cs="Arial"/>
        </w:rPr>
        <w:t>Consumer Price Index (CPI) has started rising during 2016 as the falls in the price of oil and food twelve months ago fall out of the calculation in addition, the post referendum 10% fall in the value of sterling is likely to result in a 3% increase in CPI over a period of 3-4 years</w:t>
      </w:r>
      <w:r>
        <w:rPr>
          <w:rFonts w:cs="Arial"/>
        </w:rPr>
        <w:t xml:space="preserve"> arising from increases in the cost of imports. </w:t>
      </w:r>
    </w:p>
    <w:p w14:paraId="6FE3BD72" w14:textId="77777777" w:rsidR="00C51153" w:rsidRPr="002C2483" w:rsidRDefault="00C51153" w:rsidP="00345269">
      <w:pPr>
        <w:autoSpaceDE w:val="0"/>
        <w:autoSpaceDN w:val="0"/>
        <w:adjustRightInd w:val="0"/>
        <w:ind w:left="426" w:hanging="426"/>
        <w:jc w:val="both"/>
        <w:rPr>
          <w:highlight w:val="yellow"/>
        </w:rPr>
      </w:pPr>
    </w:p>
    <w:p w14:paraId="0EE7A944" w14:textId="77777777" w:rsidR="005B2B22" w:rsidRPr="00F142A6" w:rsidRDefault="00DE2F6C" w:rsidP="00F142A6">
      <w:pPr>
        <w:autoSpaceDE w:val="0"/>
        <w:autoSpaceDN w:val="0"/>
        <w:adjustRightInd w:val="0"/>
        <w:ind w:left="567" w:hanging="567"/>
        <w:jc w:val="both"/>
      </w:pPr>
      <w:r w:rsidRPr="00F142A6">
        <w:tab/>
      </w:r>
      <w:r w:rsidR="005B2B22" w:rsidRPr="00F142A6">
        <w:rPr>
          <w:b/>
        </w:rPr>
        <w:t>Local Government Finance Settlement 201</w:t>
      </w:r>
      <w:r w:rsidR="00C81B7D" w:rsidRPr="00F142A6">
        <w:rPr>
          <w:b/>
        </w:rPr>
        <w:t>7</w:t>
      </w:r>
      <w:r w:rsidR="005B2B22" w:rsidRPr="00F142A6">
        <w:rPr>
          <w:b/>
        </w:rPr>
        <w:t>/1</w:t>
      </w:r>
      <w:r w:rsidR="00C81B7D" w:rsidRPr="00F142A6">
        <w:rPr>
          <w:b/>
        </w:rPr>
        <w:t>8</w:t>
      </w:r>
    </w:p>
    <w:p w14:paraId="68554A13" w14:textId="77777777" w:rsidR="007F3758" w:rsidRPr="00F142A6" w:rsidRDefault="009410B2" w:rsidP="00942056">
      <w:pPr>
        <w:pStyle w:val="Default"/>
        <w:ind w:left="567" w:hanging="567"/>
      </w:pPr>
      <w:r>
        <w:t>12</w:t>
      </w:r>
      <w:r w:rsidR="005B2B22" w:rsidRPr="00F142A6">
        <w:tab/>
      </w:r>
      <w:r w:rsidR="00854EDB" w:rsidRPr="00F142A6">
        <w:t>A</w:t>
      </w:r>
      <w:r w:rsidR="007F3758" w:rsidRPr="00F142A6">
        <w:t xml:space="preserve">s in previous years a one year </w:t>
      </w:r>
      <w:r w:rsidR="00854EDB" w:rsidRPr="00F142A6">
        <w:t>Council Tax F</w:t>
      </w:r>
      <w:r w:rsidR="007F3758" w:rsidRPr="00F142A6">
        <w:t xml:space="preserve">reeze </w:t>
      </w:r>
      <w:r w:rsidR="00854EDB" w:rsidRPr="00F142A6">
        <w:t>G</w:t>
      </w:r>
      <w:r w:rsidR="007F3758" w:rsidRPr="00F142A6">
        <w:t xml:space="preserve">rant </w:t>
      </w:r>
      <w:r w:rsidR="00854EDB" w:rsidRPr="00F142A6">
        <w:t>is expected to be av</w:t>
      </w:r>
      <w:r w:rsidR="007F3758" w:rsidRPr="00F142A6">
        <w:t xml:space="preserve">ailable to authorities that freeze their </w:t>
      </w:r>
      <w:r w:rsidR="00771B17" w:rsidRPr="00F142A6">
        <w:t>C</w:t>
      </w:r>
      <w:r w:rsidR="007F3758" w:rsidRPr="00F142A6">
        <w:t xml:space="preserve">ouncil </w:t>
      </w:r>
      <w:r w:rsidR="00771B17" w:rsidRPr="00F142A6">
        <w:t>T</w:t>
      </w:r>
      <w:r w:rsidR="007F3758" w:rsidRPr="00F142A6">
        <w:t xml:space="preserve">ax at the previous </w:t>
      </w:r>
      <w:r w:rsidR="00AB541D" w:rsidRPr="00F142A6">
        <w:t>year’s</w:t>
      </w:r>
      <w:r w:rsidR="007F3758" w:rsidRPr="00F142A6">
        <w:t xml:space="preserve"> level, equivalent to the product of a 1% </w:t>
      </w:r>
      <w:r w:rsidR="00370967" w:rsidRPr="00F142A6">
        <w:t xml:space="preserve">council tax </w:t>
      </w:r>
      <w:r w:rsidR="007F3758" w:rsidRPr="00F142A6">
        <w:t xml:space="preserve">increase. Given the loss of revenue to the </w:t>
      </w:r>
      <w:r w:rsidR="00771B17" w:rsidRPr="00F142A6">
        <w:t>C</w:t>
      </w:r>
      <w:r w:rsidR="007F3758" w:rsidRPr="00F142A6">
        <w:t xml:space="preserve">ouncil in the current and following years the recommendation is for the </w:t>
      </w:r>
      <w:r w:rsidR="00771B17" w:rsidRPr="00F142A6">
        <w:t>C</w:t>
      </w:r>
      <w:r w:rsidR="007F3758" w:rsidRPr="00F142A6">
        <w:t xml:space="preserve">ouncil to increase </w:t>
      </w:r>
      <w:r w:rsidR="00771B17" w:rsidRPr="00F142A6">
        <w:t>C</w:t>
      </w:r>
      <w:r w:rsidR="007F3758" w:rsidRPr="00F142A6">
        <w:t xml:space="preserve">ouncil </w:t>
      </w:r>
      <w:r w:rsidR="00771B17" w:rsidRPr="00F142A6">
        <w:t>T</w:t>
      </w:r>
      <w:r w:rsidR="007F3758" w:rsidRPr="00F142A6">
        <w:t xml:space="preserve">ax up to the maximum level at which a referendum is not required. It is expected that this level will be </w:t>
      </w:r>
      <w:r w:rsidR="00E05A27">
        <w:t>2</w:t>
      </w:r>
      <w:r w:rsidR="007F3758" w:rsidRPr="00F142A6">
        <w:t xml:space="preserve">% although this is subject to confirmation. </w:t>
      </w:r>
    </w:p>
    <w:p w14:paraId="2B07B9D5" w14:textId="77777777" w:rsidR="007F3758" w:rsidRPr="002C2483" w:rsidRDefault="007F3758" w:rsidP="00942056">
      <w:pPr>
        <w:pStyle w:val="Default"/>
        <w:ind w:left="567" w:hanging="567"/>
        <w:rPr>
          <w:highlight w:val="yellow"/>
        </w:rPr>
      </w:pPr>
    </w:p>
    <w:p w14:paraId="21815BEF" w14:textId="77288A6C" w:rsidR="009410B2" w:rsidRDefault="00551AC9" w:rsidP="001E172C">
      <w:pPr>
        <w:numPr>
          <w:ilvl w:val="0"/>
          <w:numId w:val="38"/>
        </w:numPr>
        <w:spacing w:after="120"/>
        <w:ind w:left="567" w:right="386" w:hanging="567"/>
        <w:jc w:val="both"/>
      </w:pPr>
      <w:r w:rsidRPr="0096255D">
        <w:t xml:space="preserve">Last year the Council were invited to opt into a four year Finance settlement commencing 1/4/2016 in exchange for submitting an Efficiency Statement to DCLG. The figures below reflect this settlement indicating that all </w:t>
      </w:r>
      <w:r w:rsidR="006715E4">
        <w:t>Revenue Support Grant</w:t>
      </w:r>
      <w:r w:rsidRPr="0096255D">
        <w:t xml:space="preserve"> will be removed with effect from 1/4</w:t>
      </w:r>
      <w:r w:rsidR="0096255D" w:rsidRPr="0096255D">
        <w:t>/</w:t>
      </w:r>
      <w:r w:rsidRPr="0096255D">
        <w:t xml:space="preserve">2019. Whilst opting in wasn’t compulsory there was a strong indication that the </w:t>
      </w:r>
      <w:r w:rsidR="006715E4">
        <w:t>Settlement</w:t>
      </w:r>
      <w:r w:rsidRPr="0096255D">
        <w:t xml:space="preserve"> would not be any better but could be worse. </w:t>
      </w:r>
      <w:r w:rsidR="009410B2">
        <w:t>DCLG have confirmed the Council</w:t>
      </w:r>
      <w:r w:rsidR="006715E4">
        <w:t>’s</w:t>
      </w:r>
      <w:r w:rsidR="009410B2">
        <w:t xml:space="preserve"> submission as acceptable.</w:t>
      </w:r>
    </w:p>
    <w:p w14:paraId="7AB0A7AD" w14:textId="77777777" w:rsidR="009410B2" w:rsidRPr="0096255D" w:rsidRDefault="009410B2" w:rsidP="009410B2">
      <w:pPr>
        <w:spacing w:after="120"/>
        <w:ind w:left="720" w:right="386"/>
        <w:jc w:val="both"/>
      </w:pPr>
    </w:p>
    <w:tbl>
      <w:tblPr>
        <w:tblW w:w="90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1509"/>
        <w:gridCol w:w="1603"/>
        <w:gridCol w:w="1993"/>
        <w:gridCol w:w="2492"/>
      </w:tblGrid>
      <w:tr w:rsidR="00D82D6D" w:rsidRPr="0096255D" w14:paraId="197B8FBE" w14:textId="77777777" w:rsidTr="00914969">
        <w:tc>
          <w:tcPr>
            <w:tcW w:w="9067" w:type="dxa"/>
            <w:gridSpan w:val="5"/>
          </w:tcPr>
          <w:p w14:paraId="661D9F77" w14:textId="77777777" w:rsidR="00D82D6D" w:rsidRPr="0096255D" w:rsidRDefault="00D82D6D" w:rsidP="00914969">
            <w:pPr>
              <w:spacing w:after="120"/>
              <w:ind w:right="386"/>
              <w:rPr>
                <w:b/>
              </w:rPr>
            </w:pPr>
            <w:r w:rsidRPr="0096255D">
              <w:rPr>
                <w:b/>
              </w:rPr>
              <w:t>Table 1 : Revenue Support Grant</w:t>
            </w:r>
          </w:p>
        </w:tc>
      </w:tr>
      <w:tr w:rsidR="00D82D6D" w:rsidRPr="0096255D" w14:paraId="1083946F" w14:textId="77777777" w:rsidTr="00914969">
        <w:tc>
          <w:tcPr>
            <w:tcW w:w="1470" w:type="dxa"/>
          </w:tcPr>
          <w:p w14:paraId="34463B00" w14:textId="77777777" w:rsidR="00D82D6D" w:rsidRPr="0096255D" w:rsidRDefault="00D82D6D" w:rsidP="00914969">
            <w:pPr>
              <w:spacing w:after="120"/>
              <w:ind w:right="386"/>
              <w:jc w:val="both"/>
            </w:pPr>
          </w:p>
        </w:tc>
        <w:tc>
          <w:tcPr>
            <w:tcW w:w="1509" w:type="dxa"/>
            <w:shd w:val="clear" w:color="auto" w:fill="E0E0E0"/>
          </w:tcPr>
          <w:p w14:paraId="055233B7" w14:textId="77777777" w:rsidR="00D82D6D" w:rsidRPr="0096255D" w:rsidRDefault="00D82D6D" w:rsidP="00914969">
            <w:pPr>
              <w:spacing w:after="120"/>
              <w:ind w:right="386"/>
              <w:jc w:val="center"/>
              <w:rPr>
                <w:b/>
              </w:rPr>
            </w:pPr>
            <w:r w:rsidRPr="0096255D">
              <w:rPr>
                <w:b/>
              </w:rPr>
              <w:t>Grants</w:t>
            </w:r>
          </w:p>
        </w:tc>
        <w:tc>
          <w:tcPr>
            <w:tcW w:w="1603" w:type="dxa"/>
            <w:shd w:val="clear" w:color="auto" w:fill="E0E0E0"/>
          </w:tcPr>
          <w:p w14:paraId="3D96963F" w14:textId="77777777" w:rsidR="00D82D6D" w:rsidRPr="0096255D" w:rsidRDefault="00D82D6D" w:rsidP="00914969">
            <w:pPr>
              <w:spacing w:after="120"/>
              <w:ind w:right="386"/>
              <w:jc w:val="center"/>
              <w:rPr>
                <w:b/>
              </w:rPr>
            </w:pPr>
            <w:r w:rsidRPr="0096255D">
              <w:rPr>
                <w:b/>
              </w:rPr>
              <w:t>Revenue Support Grant</w:t>
            </w:r>
          </w:p>
        </w:tc>
        <w:tc>
          <w:tcPr>
            <w:tcW w:w="1993" w:type="dxa"/>
            <w:shd w:val="clear" w:color="auto" w:fill="E0E0E0"/>
          </w:tcPr>
          <w:p w14:paraId="550ED384" w14:textId="77777777" w:rsidR="00D82D6D" w:rsidRPr="0096255D" w:rsidRDefault="00D82D6D" w:rsidP="00914969">
            <w:pPr>
              <w:spacing w:after="120"/>
              <w:ind w:right="386"/>
              <w:jc w:val="center"/>
              <w:rPr>
                <w:b/>
              </w:rPr>
            </w:pPr>
            <w:r w:rsidRPr="0096255D">
              <w:rPr>
                <w:b/>
              </w:rPr>
              <w:t>Total</w:t>
            </w:r>
          </w:p>
        </w:tc>
        <w:tc>
          <w:tcPr>
            <w:tcW w:w="2492" w:type="dxa"/>
            <w:shd w:val="clear" w:color="auto" w:fill="E0E0E0"/>
          </w:tcPr>
          <w:p w14:paraId="34D5469F" w14:textId="77777777" w:rsidR="00D82D6D" w:rsidRPr="0096255D" w:rsidRDefault="00D82D6D" w:rsidP="00914969">
            <w:pPr>
              <w:spacing w:after="120"/>
              <w:ind w:right="386"/>
              <w:jc w:val="center"/>
              <w:rPr>
                <w:b/>
              </w:rPr>
            </w:pPr>
            <w:r w:rsidRPr="0096255D">
              <w:rPr>
                <w:b/>
              </w:rPr>
              <w:t>Percentage (Reduction)/</w:t>
            </w:r>
          </w:p>
          <w:p w14:paraId="7503092A" w14:textId="77777777" w:rsidR="00D82D6D" w:rsidRPr="0096255D" w:rsidRDefault="00D82D6D" w:rsidP="00914969">
            <w:pPr>
              <w:spacing w:after="120"/>
              <w:ind w:right="386"/>
              <w:jc w:val="center"/>
              <w:rPr>
                <w:b/>
              </w:rPr>
            </w:pPr>
            <w:r w:rsidRPr="0096255D">
              <w:rPr>
                <w:b/>
              </w:rPr>
              <w:t>Increase in RSG</w:t>
            </w:r>
          </w:p>
        </w:tc>
      </w:tr>
      <w:tr w:rsidR="00D82D6D" w:rsidRPr="0096255D" w14:paraId="3EA5CBF5" w14:textId="77777777" w:rsidTr="00914969">
        <w:tc>
          <w:tcPr>
            <w:tcW w:w="1470" w:type="dxa"/>
          </w:tcPr>
          <w:p w14:paraId="22E229B0" w14:textId="77777777" w:rsidR="00D82D6D" w:rsidRPr="0096255D" w:rsidRDefault="00D82D6D" w:rsidP="00914969">
            <w:pPr>
              <w:spacing w:after="120"/>
              <w:ind w:right="386"/>
              <w:jc w:val="both"/>
            </w:pPr>
          </w:p>
        </w:tc>
        <w:tc>
          <w:tcPr>
            <w:tcW w:w="1509" w:type="dxa"/>
            <w:shd w:val="clear" w:color="auto" w:fill="E0E0E0"/>
          </w:tcPr>
          <w:p w14:paraId="596603BA" w14:textId="77777777" w:rsidR="00D82D6D" w:rsidRPr="0096255D" w:rsidRDefault="00D82D6D" w:rsidP="00914969">
            <w:pPr>
              <w:spacing w:after="120"/>
              <w:ind w:right="386"/>
              <w:jc w:val="center"/>
              <w:rPr>
                <w:b/>
              </w:rPr>
            </w:pPr>
            <w:r w:rsidRPr="0096255D">
              <w:rPr>
                <w:b/>
              </w:rPr>
              <w:t>£million</w:t>
            </w:r>
          </w:p>
        </w:tc>
        <w:tc>
          <w:tcPr>
            <w:tcW w:w="1603" w:type="dxa"/>
            <w:shd w:val="clear" w:color="auto" w:fill="E0E0E0"/>
          </w:tcPr>
          <w:p w14:paraId="39A9D8A7" w14:textId="77777777" w:rsidR="00D82D6D" w:rsidRPr="0096255D" w:rsidRDefault="00D82D6D" w:rsidP="00914969">
            <w:pPr>
              <w:spacing w:after="120"/>
              <w:ind w:right="386"/>
              <w:jc w:val="center"/>
              <w:rPr>
                <w:b/>
              </w:rPr>
            </w:pPr>
            <w:r w:rsidRPr="0096255D">
              <w:rPr>
                <w:b/>
              </w:rPr>
              <w:t>£million</w:t>
            </w:r>
          </w:p>
        </w:tc>
        <w:tc>
          <w:tcPr>
            <w:tcW w:w="1993" w:type="dxa"/>
            <w:shd w:val="clear" w:color="auto" w:fill="E0E0E0"/>
          </w:tcPr>
          <w:p w14:paraId="43E94F97" w14:textId="77777777" w:rsidR="00D82D6D" w:rsidRPr="0096255D" w:rsidRDefault="00D82D6D" w:rsidP="00914969">
            <w:pPr>
              <w:spacing w:after="120"/>
              <w:ind w:right="386"/>
              <w:jc w:val="center"/>
              <w:rPr>
                <w:b/>
              </w:rPr>
            </w:pPr>
            <w:r w:rsidRPr="0096255D">
              <w:rPr>
                <w:b/>
              </w:rPr>
              <w:t>£million</w:t>
            </w:r>
          </w:p>
        </w:tc>
        <w:tc>
          <w:tcPr>
            <w:tcW w:w="2492" w:type="dxa"/>
            <w:shd w:val="clear" w:color="auto" w:fill="E0E0E0"/>
          </w:tcPr>
          <w:p w14:paraId="689F3449" w14:textId="77777777" w:rsidR="00D82D6D" w:rsidRPr="0096255D" w:rsidRDefault="00D82D6D" w:rsidP="00914969">
            <w:pPr>
              <w:spacing w:after="120"/>
              <w:ind w:right="386"/>
              <w:jc w:val="center"/>
              <w:rPr>
                <w:b/>
              </w:rPr>
            </w:pPr>
            <w:r w:rsidRPr="0096255D">
              <w:rPr>
                <w:b/>
              </w:rPr>
              <w:t>%</w:t>
            </w:r>
          </w:p>
        </w:tc>
      </w:tr>
      <w:tr w:rsidR="00D82D6D" w:rsidRPr="0096255D" w14:paraId="367C4C3E" w14:textId="77777777" w:rsidTr="00914969">
        <w:tc>
          <w:tcPr>
            <w:tcW w:w="1470" w:type="dxa"/>
          </w:tcPr>
          <w:p w14:paraId="798E3E02" w14:textId="77777777" w:rsidR="00D82D6D" w:rsidRPr="0096255D" w:rsidRDefault="00D82D6D" w:rsidP="00914969">
            <w:pPr>
              <w:spacing w:after="120"/>
              <w:ind w:right="386"/>
              <w:jc w:val="both"/>
            </w:pPr>
            <w:r w:rsidRPr="0096255D">
              <w:t>2013/14 *</w:t>
            </w:r>
          </w:p>
        </w:tc>
        <w:tc>
          <w:tcPr>
            <w:tcW w:w="1509" w:type="dxa"/>
          </w:tcPr>
          <w:p w14:paraId="60EDC1EB" w14:textId="5D0DAA9F" w:rsidR="00D82D6D" w:rsidRPr="0096255D" w:rsidRDefault="00D82D6D" w:rsidP="00FC7C2C">
            <w:pPr>
              <w:tabs>
                <w:tab w:val="left" w:pos="1453"/>
              </w:tabs>
              <w:spacing w:after="120"/>
              <w:ind w:right="-18"/>
              <w:jc w:val="right"/>
            </w:pPr>
            <w:r w:rsidRPr="0096255D">
              <w:t>2</w:t>
            </w:r>
            <w:r w:rsidR="00FC7C2C">
              <w:t>.</w:t>
            </w:r>
            <w:r w:rsidRPr="0096255D">
              <w:t>835</w:t>
            </w:r>
          </w:p>
        </w:tc>
        <w:tc>
          <w:tcPr>
            <w:tcW w:w="1603" w:type="dxa"/>
          </w:tcPr>
          <w:p w14:paraId="1C35437E" w14:textId="6566F85B" w:rsidR="00D82D6D" w:rsidRPr="0096255D" w:rsidRDefault="00D82D6D" w:rsidP="00FC7C2C">
            <w:pPr>
              <w:spacing w:after="120"/>
              <w:jc w:val="right"/>
            </w:pPr>
            <w:r w:rsidRPr="0096255D">
              <w:t>6</w:t>
            </w:r>
            <w:r w:rsidR="00FC7C2C">
              <w:t>.</w:t>
            </w:r>
            <w:r w:rsidRPr="0096255D">
              <w:t>517</w:t>
            </w:r>
          </w:p>
        </w:tc>
        <w:tc>
          <w:tcPr>
            <w:tcW w:w="1993" w:type="dxa"/>
          </w:tcPr>
          <w:p w14:paraId="426AFA90" w14:textId="11995A04" w:rsidR="00D82D6D" w:rsidRPr="0096255D" w:rsidRDefault="00D82D6D" w:rsidP="00FC7C2C">
            <w:pPr>
              <w:spacing w:after="120"/>
              <w:ind w:right="-25"/>
              <w:jc w:val="right"/>
            </w:pPr>
            <w:r w:rsidRPr="0096255D">
              <w:t>9</w:t>
            </w:r>
            <w:r w:rsidR="00FC7C2C">
              <w:t>.</w:t>
            </w:r>
            <w:r w:rsidRPr="0096255D">
              <w:t>352</w:t>
            </w:r>
          </w:p>
        </w:tc>
        <w:tc>
          <w:tcPr>
            <w:tcW w:w="2492" w:type="dxa"/>
          </w:tcPr>
          <w:p w14:paraId="1D1B2C39" w14:textId="77777777" w:rsidR="00D82D6D" w:rsidRPr="0096255D" w:rsidRDefault="00D82D6D" w:rsidP="00914969">
            <w:pPr>
              <w:tabs>
                <w:tab w:val="left" w:pos="2927"/>
              </w:tabs>
              <w:spacing w:after="120"/>
              <w:jc w:val="right"/>
            </w:pPr>
            <w:r w:rsidRPr="0096255D">
              <w:t>n/a</w:t>
            </w:r>
          </w:p>
        </w:tc>
      </w:tr>
      <w:tr w:rsidR="00D82D6D" w:rsidRPr="0096255D" w14:paraId="687535F3" w14:textId="77777777" w:rsidTr="00914969">
        <w:tc>
          <w:tcPr>
            <w:tcW w:w="1470" w:type="dxa"/>
          </w:tcPr>
          <w:p w14:paraId="5985AF94" w14:textId="77777777" w:rsidR="00D82D6D" w:rsidRPr="0096255D" w:rsidRDefault="00D82D6D" w:rsidP="00914969">
            <w:pPr>
              <w:spacing w:after="120"/>
              <w:ind w:right="386"/>
              <w:jc w:val="both"/>
            </w:pPr>
            <w:r w:rsidRPr="0096255D">
              <w:lastRenderedPageBreak/>
              <w:t>2014/15 **</w:t>
            </w:r>
          </w:p>
        </w:tc>
        <w:tc>
          <w:tcPr>
            <w:tcW w:w="1509" w:type="dxa"/>
          </w:tcPr>
          <w:p w14:paraId="78AD9E6C" w14:textId="77777777" w:rsidR="00D82D6D" w:rsidRPr="0096255D" w:rsidRDefault="00D82D6D" w:rsidP="00914969">
            <w:pPr>
              <w:tabs>
                <w:tab w:val="left" w:pos="1453"/>
              </w:tabs>
              <w:spacing w:after="120"/>
              <w:ind w:right="-18"/>
              <w:jc w:val="right"/>
            </w:pPr>
            <w:r w:rsidRPr="0096255D">
              <w:t>0.735</w:t>
            </w:r>
          </w:p>
        </w:tc>
        <w:tc>
          <w:tcPr>
            <w:tcW w:w="1603" w:type="dxa"/>
          </w:tcPr>
          <w:p w14:paraId="37A39763" w14:textId="77777777" w:rsidR="00D82D6D" w:rsidRPr="0096255D" w:rsidRDefault="00D82D6D" w:rsidP="00914969">
            <w:pPr>
              <w:spacing w:after="120"/>
              <w:jc w:val="right"/>
            </w:pPr>
            <w:r w:rsidRPr="0096255D">
              <w:t>5.606</w:t>
            </w:r>
          </w:p>
        </w:tc>
        <w:tc>
          <w:tcPr>
            <w:tcW w:w="1993" w:type="dxa"/>
          </w:tcPr>
          <w:p w14:paraId="19F37813" w14:textId="19BBE464" w:rsidR="00D82D6D" w:rsidRPr="0096255D" w:rsidRDefault="00D82D6D" w:rsidP="00FC7C2C">
            <w:pPr>
              <w:spacing w:after="120"/>
              <w:ind w:right="-25"/>
              <w:jc w:val="right"/>
            </w:pPr>
            <w:r w:rsidRPr="0096255D">
              <w:t>6</w:t>
            </w:r>
            <w:r w:rsidR="00FC7C2C">
              <w:t>.</w:t>
            </w:r>
            <w:r w:rsidRPr="0096255D">
              <w:t>341</w:t>
            </w:r>
          </w:p>
        </w:tc>
        <w:tc>
          <w:tcPr>
            <w:tcW w:w="2492" w:type="dxa"/>
          </w:tcPr>
          <w:p w14:paraId="2C5232D7" w14:textId="77777777" w:rsidR="00D82D6D" w:rsidRPr="0096255D" w:rsidRDefault="00D82D6D" w:rsidP="00914969">
            <w:pPr>
              <w:tabs>
                <w:tab w:val="left" w:pos="2927"/>
              </w:tabs>
              <w:spacing w:after="120"/>
              <w:jc w:val="right"/>
            </w:pPr>
            <w:r w:rsidRPr="0096255D">
              <w:t>(22.8)</w:t>
            </w:r>
          </w:p>
        </w:tc>
      </w:tr>
      <w:tr w:rsidR="00D82D6D" w:rsidRPr="0096255D" w14:paraId="2984C6BA" w14:textId="77777777" w:rsidTr="00914969">
        <w:tc>
          <w:tcPr>
            <w:tcW w:w="1470" w:type="dxa"/>
          </w:tcPr>
          <w:p w14:paraId="73A38EEE" w14:textId="77777777" w:rsidR="00D82D6D" w:rsidRPr="0096255D" w:rsidRDefault="00D82D6D" w:rsidP="00914969">
            <w:pPr>
              <w:spacing w:after="120"/>
              <w:ind w:right="386"/>
              <w:jc w:val="both"/>
            </w:pPr>
            <w:r w:rsidRPr="0096255D">
              <w:t>2015/16</w:t>
            </w:r>
          </w:p>
        </w:tc>
        <w:tc>
          <w:tcPr>
            <w:tcW w:w="1509" w:type="dxa"/>
          </w:tcPr>
          <w:p w14:paraId="64AF30A0" w14:textId="77777777" w:rsidR="00D82D6D" w:rsidRPr="0096255D" w:rsidRDefault="00D82D6D" w:rsidP="00914969">
            <w:pPr>
              <w:tabs>
                <w:tab w:val="left" w:pos="1453"/>
              </w:tabs>
              <w:spacing w:after="120"/>
              <w:ind w:right="-18"/>
              <w:jc w:val="right"/>
            </w:pPr>
            <w:r w:rsidRPr="0096255D">
              <w:t>0.720</w:t>
            </w:r>
          </w:p>
        </w:tc>
        <w:tc>
          <w:tcPr>
            <w:tcW w:w="1603" w:type="dxa"/>
          </w:tcPr>
          <w:p w14:paraId="2FE9672E" w14:textId="77777777" w:rsidR="00D82D6D" w:rsidRPr="0096255D" w:rsidRDefault="00D82D6D" w:rsidP="00914969">
            <w:pPr>
              <w:spacing w:after="120"/>
              <w:jc w:val="right"/>
            </w:pPr>
            <w:r w:rsidRPr="0096255D">
              <w:t>3.713</w:t>
            </w:r>
          </w:p>
        </w:tc>
        <w:tc>
          <w:tcPr>
            <w:tcW w:w="1993" w:type="dxa"/>
          </w:tcPr>
          <w:p w14:paraId="28282F9F" w14:textId="19AC34E3" w:rsidR="00D82D6D" w:rsidRPr="0096255D" w:rsidRDefault="00D82D6D" w:rsidP="00FC7C2C">
            <w:pPr>
              <w:spacing w:after="120"/>
              <w:ind w:right="-25"/>
              <w:jc w:val="right"/>
            </w:pPr>
            <w:r w:rsidRPr="0096255D">
              <w:t>4</w:t>
            </w:r>
            <w:r w:rsidR="00FC7C2C">
              <w:t>.</w:t>
            </w:r>
            <w:r w:rsidRPr="0096255D">
              <w:t>433</w:t>
            </w:r>
          </w:p>
        </w:tc>
        <w:tc>
          <w:tcPr>
            <w:tcW w:w="2492" w:type="dxa"/>
          </w:tcPr>
          <w:p w14:paraId="28B7AD6C" w14:textId="77777777" w:rsidR="00D82D6D" w:rsidRPr="0096255D" w:rsidRDefault="00D82D6D" w:rsidP="00914969">
            <w:pPr>
              <w:tabs>
                <w:tab w:val="left" w:pos="2927"/>
              </w:tabs>
              <w:spacing w:after="120"/>
              <w:jc w:val="right"/>
            </w:pPr>
            <w:r w:rsidRPr="0096255D">
              <w:t>(30.0)</w:t>
            </w:r>
          </w:p>
        </w:tc>
      </w:tr>
      <w:tr w:rsidR="00D82D6D" w:rsidRPr="0096255D" w14:paraId="4CCB5377" w14:textId="77777777" w:rsidTr="00914969">
        <w:tc>
          <w:tcPr>
            <w:tcW w:w="1470" w:type="dxa"/>
          </w:tcPr>
          <w:p w14:paraId="65C893C7" w14:textId="77777777" w:rsidR="00D82D6D" w:rsidRPr="0096255D" w:rsidRDefault="00D82D6D" w:rsidP="00914969">
            <w:pPr>
              <w:spacing w:after="120"/>
              <w:ind w:right="386"/>
              <w:jc w:val="both"/>
            </w:pPr>
            <w:r w:rsidRPr="0096255D">
              <w:t>2016/17</w:t>
            </w:r>
          </w:p>
        </w:tc>
        <w:tc>
          <w:tcPr>
            <w:tcW w:w="1509" w:type="dxa"/>
          </w:tcPr>
          <w:p w14:paraId="5ADA1AB3" w14:textId="77777777" w:rsidR="00D82D6D" w:rsidRPr="0096255D" w:rsidRDefault="00D82D6D" w:rsidP="00914969">
            <w:pPr>
              <w:tabs>
                <w:tab w:val="left" w:pos="1453"/>
              </w:tabs>
              <w:spacing w:after="120"/>
              <w:ind w:right="-18"/>
              <w:jc w:val="right"/>
            </w:pPr>
            <w:r w:rsidRPr="0096255D">
              <w:t>0.480</w:t>
            </w:r>
          </w:p>
        </w:tc>
        <w:tc>
          <w:tcPr>
            <w:tcW w:w="1603" w:type="dxa"/>
          </w:tcPr>
          <w:p w14:paraId="7C3F23F5" w14:textId="77777777" w:rsidR="00D82D6D" w:rsidRPr="0096255D" w:rsidRDefault="00D82D6D" w:rsidP="00914969">
            <w:pPr>
              <w:spacing w:after="120"/>
              <w:jc w:val="right"/>
            </w:pPr>
            <w:r w:rsidRPr="0096255D">
              <w:t>2.475</w:t>
            </w:r>
          </w:p>
        </w:tc>
        <w:tc>
          <w:tcPr>
            <w:tcW w:w="1993" w:type="dxa"/>
          </w:tcPr>
          <w:p w14:paraId="1D537387" w14:textId="03E8DBD3" w:rsidR="00D82D6D" w:rsidRPr="0096255D" w:rsidRDefault="00D82D6D" w:rsidP="00FC7C2C">
            <w:pPr>
              <w:spacing w:after="120"/>
              <w:ind w:right="-25"/>
              <w:jc w:val="right"/>
            </w:pPr>
            <w:r w:rsidRPr="0096255D">
              <w:t>2</w:t>
            </w:r>
            <w:r w:rsidR="00FC7C2C">
              <w:t>.</w:t>
            </w:r>
            <w:r w:rsidRPr="0096255D">
              <w:t>955</w:t>
            </w:r>
          </w:p>
        </w:tc>
        <w:tc>
          <w:tcPr>
            <w:tcW w:w="2492" w:type="dxa"/>
          </w:tcPr>
          <w:p w14:paraId="2583CFE5" w14:textId="77777777" w:rsidR="00D82D6D" w:rsidRPr="0096255D" w:rsidRDefault="00D82D6D" w:rsidP="00914969">
            <w:pPr>
              <w:tabs>
                <w:tab w:val="left" w:pos="2927"/>
              </w:tabs>
              <w:spacing w:after="120"/>
              <w:jc w:val="right"/>
            </w:pPr>
            <w:r w:rsidRPr="0096255D">
              <w:t>(33.0)</w:t>
            </w:r>
          </w:p>
        </w:tc>
      </w:tr>
      <w:tr w:rsidR="00D82D6D" w:rsidRPr="0096255D" w14:paraId="57CFE13F" w14:textId="77777777" w:rsidTr="00914969">
        <w:tc>
          <w:tcPr>
            <w:tcW w:w="1470" w:type="dxa"/>
          </w:tcPr>
          <w:p w14:paraId="2F4DDCD0" w14:textId="77777777" w:rsidR="00D82D6D" w:rsidRPr="0096255D" w:rsidRDefault="00D82D6D" w:rsidP="00914969">
            <w:pPr>
              <w:spacing w:after="120"/>
              <w:ind w:right="386"/>
              <w:jc w:val="both"/>
            </w:pPr>
            <w:r w:rsidRPr="0096255D">
              <w:t>2017/18</w:t>
            </w:r>
          </w:p>
        </w:tc>
        <w:tc>
          <w:tcPr>
            <w:tcW w:w="1509" w:type="dxa"/>
          </w:tcPr>
          <w:p w14:paraId="591CF692" w14:textId="77777777" w:rsidR="00D82D6D" w:rsidRPr="0096255D" w:rsidRDefault="00D82D6D" w:rsidP="00914969">
            <w:pPr>
              <w:tabs>
                <w:tab w:val="left" w:pos="1453"/>
              </w:tabs>
              <w:spacing w:after="120"/>
              <w:ind w:right="-18"/>
              <w:jc w:val="right"/>
            </w:pPr>
            <w:r w:rsidRPr="0096255D">
              <w:t>0.240</w:t>
            </w:r>
          </w:p>
        </w:tc>
        <w:tc>
          <w:tcPr>
            <w:tcW w:w="1603" w:type="dxa"/>
          </w:tcPr>
          <w:p w14:paraId="472C252B" w14:textId="77777777" w:rsidR="00D82D6D" w:rsidRPr="0096255D" w:rsidRDefault="00D82D6D" w:rsidP="00C51153">
            <w:pPr>
              <w:spacing w:after="120"/>
              <w:jc w:val="right"/>
            </w:pPr>
            <w:r w:rsidRPr="0096255D">
              <w:t>1.2</w:t>
            </w:r>
            <w:r w:rsidR="00C51153" w:rsidRPr="0096255D">
              <w:t>75</w:t>
            </w:r>
          </w:p>
        </w:tc>
        <w:tc>
          <w:tcPr>
            <w:tcW w:w="1993" w:type="dxa"/>
          </w:tcPr>
          <w:p w14:paraId="039AAC34" w14:textId="713BE53E" w:rsidR="00D82D6D" w:rsidRPr="0096255D" w:rsidRDefault="00D82D6D" w:rsidP="00FC7C2C">
            <w:pPr>
              <w:spacing w:after="120"/>
              <w:ind w:right="-25"/>
              <w:jc w:val="right"/>
            </w:pPr>
            <w:r w:rsidRPr="0096255D">
              <w:t>1</w:t>
            </w:r>
            <w:r w:rsidR="00FC7C2C">
              <w:t>.</w:t>
            </w:r>
            <w:r w:rsidR="00C51153" w:rsidRPr="0096255D">
              <w:t>515</w:t>
            </w:r>
          </w:p>
        </w:tc>
        <w:tc>
          <w:tcPr>
            <w:tcW w:w="2492" w:type="dxa"/>
          </w:tcPr>
          <w:p w14:paraId="5FCD089A" w14:textId="77777777" w:rsidR="00D82D6D" w:rsidRPr="0096255D" w:rsidRDefault="00D82D6D" w:rsidP="00551AC9">
            <w:pPr>
              <w:tabs>
                <w:tab w:val="left" w:pos="2927"/>
              </w:tabs>
              <w:spacing w:after="120"/>
              <w:jc w:val="right"/>
            </w:pPr>
            <w:r w:rsidRPr="0096255D">
              <w:t>(</w:t>
            </w:r>
            <w:r w:rsidR="00551AC9" w:rsidRPr="0096255D">
              <w:t>48</w:t>
            </w:r>
            <w:r w:rsidRPr="0096255D">
              <w:t>.</w:t>
            </w:r>
            <w:r w:rsidR="00551AC9" w:rsidRPr="0096255D">
              <w:t>7</w:t>
            </w:r>
            <w:r w:rsidRPr="0096255D">
              <w:t>)</w:t>
            </w:r>
          </w:p>
        </w:tc>
      </w:tr>
      <w:tr w:rsidR="00D82D6D" w:rsidRPr="0096255D" w14:paraId="69A61081" w14:textId="77777777" w:rsidTr="00914969">
        <w:tc>
          <w:tcPr>
            <w:tcW w:w="1470" w:type="dxa"/>
          </w:tcPr>
          <w:p w14:paraId="5D011DE7" w14:textId="77777777" w:rsidR="00D82D6D" w:rsidRPr="0096255D" w:rsidRDefault="00D82D6D" w:rsidP="00914969">
            <w:pPr>
              <w:spacing w:after="120"/>
              <w:ind w:right="386"/>
              <w:jc w:val="both"/>
            </w:pPr>
            <w:r w:rsidRPr="0096255D">
              <w:t>2018/19 ***</w:t>
            </w:r>
          </w:p>
        </w:tc>
        <w:tc>
          <w:tcPr>
            <w:tcW w:w="1509" w:type="dxa"/>
          </w:tcPr>
          <w:p w14:paraId="0EE515F7" w14:textId="77777777" w:rsidR="00D82D6D" w:rsidRPr="0096255D" w:rsidRDefault="00D82D6D" w:rsidP="00914969">
            <w:pPr>
              <w:tabs>
                <w:tab w:val="left" w:pos="1453"/>
              </w:tabs>
              <w:spacing w:after="120"/>
              <w:ind w:right="-18"/>
              <w:jc w:val="right"/>
            </w:pPr>
            <w:r w:rsidRPr="0096255D">
              <w:t>0</w:t>
            </w:r>
          </w:p>
        </w:tc>
        <w:tc>
          <w:tcPr>
            <w:tcW w:w="1603" w:type="dxa"/>
          </w:tcPr>
          <w:p w14:paraId="05885F8E" w14:textId="77777777" w:rsidR="00D82D6D" w:rsidRPr="0096255D" w:rsidRDefault="00551AC9" w:rsidP="00551AC9">
            <w:pPr>
              <w:spacing w:after="120"/>
              <w:jc w:val="right"/>
            </w:pPr>
            <w:r w:rsidRPr="0096255D">
              <w:t>0.630</w:t>
            </w:r>
          </w:p>
        </w:tc>
        <w:tc>
          <w:tcPr>
            <w:tcW w:w="1993" w:type="dxa"/>
          </w:tcPr>
          <w:p w14:paraId="5BC66E40" w14:textId="77777777" w:rsidR="00D82D6D" w:rsidRPr="0096255D" w:rsidRDefault="00551AC9" w:rsidP="00551AC9">
            <w:pPr>
              <w:spacing w:after="120"/>
              <w:ind w:right="-25"/>
              <w:jc w:val="right"/>
            </w:pPr>
            <w:r w:rsidRPr="0096255D">
              <w:t>0.63</w:t>
            </w:r>
            <w:r w:rsidR="00D82D6D" w:rsidRPr="0096255D">
              <w:t>0</w:t>
            </w:r>
          </w:p>
        </w:tc>
        <w:tc>
          <w:tcPr>
            <w:tcW w:w="2492" w:type="dxa"/>
          </w:tcPr>
          <w:p w14:paraId="668078C5" w14:textId="77777777" w:rsidR="00D82D6D" w:rsidRPr="0096255D" w:rsidRDefault="00D82D6D" w:rsidP="00551AC9">
            <w:pPr>
              <w:tabs>
                <w:tab w:val="left" w:pos="2927"/>
              </w:tabs>
              <w:spacing w:after="120"/>
              <w:jc w:val="right"/>
            </w:pPr>
            <w:r w:rsidRPr="0096255D">
              <w:t>(</w:t>
            </w:r>
            <w:r w:rsidR="00551AC9" w:rsidRPr="0096255D">
              <w:t>5</w:t>
            </w:r>
            <w:r w:rsidRPr="0096255D">
              <w:t>0.</w:t>
            </w:r>
            <w:r w:rsidR="00551AC9" w:rsidRPr="0096255D">
              <w:t>6</w:t>
            </w:r>
            <w:r w:rsidRPr="0096255D">
              <w:t>)</w:t>
            </w:r>
          </w:p>
        </w:tc>
      </w:tr>
      <w:tr w:rsidR="00D82D6D" w:rsidRPr="0096255D" w14:paraId="4F3C2525" w14:textId="77777777" w:rsidTr="00914969">
        <w:tc>
          <w:tcPr>
            <w:tcW w:w="1470" w:type="dxa"/>
          </w:tcPr>
          <w:p w14:paraId="22D41722" w14:textId="77777777" w:rsidR="00D82D6D" w:rsidRPr="0096255D" w:rsidRDefault="00D82D6D" w:rsidP="00914969">
            <w:pPr>
              <w:spacing w:after="120"/>
              <w:ind w:right="386"/>
              <w:jc w:val="both"/>
            </w:pPr>
            <w:r w:rsidRPr="0096255D">
              <w:t>2019/20</w:t>
            </w:r>
          </w:p>
        </w:tc>
        <w:tc>
          <w:tcPr>
            <w:tcW w:w="1509" w:type="dxa"/>
          </w:tcPr>
          <w:p w14:paraId="3D8826E7" w14:textId="77777777" w:rsidR="00D82D6D" w:rsidRPr="0096255D" w:rsidRDefault="00D82D6D" w:rsidP="00914969">
            <w:pPr>
              <w:tabs>
                <w:tab w:val="left" w:pos="1453"/>
              </w:tabs>
              <w:spacing w:after="120"/>
              <w:ind w:right="-18"/>
              <w:jc w:val="right"/>
            </w:pPr>
            <w:r w:rsidRPr="0096255D">
              <w:t>0</w:t>
            </w:r>
          </w:p>
        </w:tc>
        <w:tc>
          <w:tcPr>
            <w:tcW w:w="1603" w:type="dxa"/>
          </w:tcPr>
          <w:p w14:paraId="2B49448F" w14:textId="77777777" w:rsidR="00D82D6D" w:rsidRPr="0096255D" w:rsidRDefault="00D82D6D" w:rsidP="00914969">
            <w:pPr>
              <w:spacing w:after="120"/>
              <w:jc w:val="right"/>
            </w:pPr>
            <w:r w:rsidRPr="0096255D">
              <w:t>0</w:t>
            </w:r>
          </w:p>
        </w:tc>
        <w:tc>
          <w:tcPr>
            <w:tcW w:w="1993" w:type="dxa"/>
          </w:tcPr>
          <w:p w14:paraId="34D7F738" w14:textId="77777777" w:rsidR="00D82D6D" w:rsidRPr="0096255D" w:rsidRDefault="00D82D6D" w:rsidP="00914969">
            <w:pPr>
              <w:spacing w:after="120"/>
              <w:ind w:right="-25"/>
              <w:jc w:val="right"/>
            </w:pPr>
            <w:r w:rsidRPr="0096255D">
              <w:t>0</w:t>
            </w:r>
          </w:p>
        </w:tc>
        <w:tc>
          <w:tcPr>
            <w:tcW w:w="2492" w:type="dxa"/>
          </w:tcPr>
          <w:p w14:paraId="5C33EDF1" w14:textId="77777777" w:rsidR="00D82D6D" w:rsidRPr="0096255D" w:rsidRDefault="00551AC9" w:rsidP="00551AC9">
            <w:pPr>
              <w:tabs>
                <w:tab w:val="left" w:pos="2927"/>
              </w:tabs>
              <w:spacing w:after="120"/>
              <w:jc w:val="right"/>
            </w:pPr>
            <w:r w:rsidRPr="0096255D">
              <w:t>(100)</w:t>
            </w:r>
          </w:p>
        </w:tc>
      </w:tr>
    </w:tbl>
    <w:p w14:paraId="5169DA2D" w14:textId="77777777" w:rsidR="00D82D6D" w:rsidRPr="0096255D" w:rsidRDefault="00D82D6D" w:rsidP="00357552">
      <w:pPr>
        <w:spacing w:after="120"/>
        <w:ind w:left="567" w:right="386" w:hanging="567"/>
        <w:jc w:val="both"/>
      </w:pPr>
    </w:p>
    <w:p w14:paraId="64E3D31A" w14:textId="52745D58" w:rsidR="00D82D6D" w:rsidRPr="0096255D" w:rsidRDefault="00D82D6D" w:rsidP="00D82D6D">
      <w:pPr>
        <w:spacing w:after="120"/>
        <w:ind w:left="567" w:right="386"/>
        <w:jc w:val="both"/>
      </w:pPr>
      <w:r w:rsidRPr="0096255D">
        <w:t xml:space="preserve">* </w:t>
      </w:r>
      <w:r w:rsidR="006A42B3">
        <w:tab/>
      </w:r>
      <w:r w:rsidRPr="0096255D">
        <w:t xml:space="preserve">First year of retained business rates system </w:t>
      </w:r>
    </w:p>
    <w:p w14:paraId="132675B9" w14:textId="5DF51CEE" w:rsidR="00D82D6D" w:rsidRPr="0096255D" w:rsidRDefault="00D82D6D" w:rsidP="006A42B3">
      <w:pPr>
        <w:spacing w:after="120"/>
        <w:ind w:left="1437" w:right="386" w:hanging="870"/>
        <w:jc w:val="both"/>
      </w:pPr>
      <w:r w:rsidRPr="0096255D">
        <w:t xml:space="preserve">** </w:t>
      </w:r>
      <w:r w:rsidR="006A42B3">
        <w:tab/>
      </w:r>
      <w:r w:rsidRPr="0096255D">
        <w:t>First year that Council Tax Support Grant was rolled into Revenue Support Grant</w:t>
      </w:r>
    </w:p>
    <w:p w14:paraId="457EF58D" w14:textId="1F63CB20" w:rsidR="00D82D6D" w:rsidRPr="0096255D" w:rsidRDefault="00D82D6D" w:rsidP="00D82D6D">
      <w:pPr>
        <w:spacing w:after="120"/>
        <w:ind w:left="567" w:right="386"/>
        <w:jc w:val="both"/>
      </w:pPr>
      <w:r w:rsidRPr="0096255D">
        <w:t xml:space="preserve">*** </w:t>
      </w:r>
      <w:r w:rsidR="006A42B3">
        <w:tab/>
      </w:r>
      <w:r w:rsidRPr="0096255D">
        <w:t>Grant to reduce to zero</w:t>
      </w:r>
    </w:p>
    <w:p w14:paraId="329EF6AB" w14:textId="77777777" w:rsidR="00C143DE" w:rsidRPr="002C2483" w:rsidRDefault="00C143DE" w:rsidP="00C143DE">
      <w:pPr>
        <w:spacing w:after="120"/>
        <w:ind w:right="386"/>
        <w:jc w:val="both"/>
        <w:rPr>
          <w:highlight w:val="yellow"/>
        </w:rPr>
      </w:pPr>
    </w:p>
    <w:p w14:paraId="1769CCCC" w14:textId="77777777" w:rsidR="009E51EC" w:rsidRPr="004C288D" w:rsidRDefault="007B6AB3" w:rsidP="00C143DE">
      <w:pPr>
        <w:spacing w:after="120"/>
        <w:ind w:right="386" w:firstLine="567"/>
        <w:jc w:val="both"/>
      </w:pPr>
      <w:r w:rsidRPr="004C288D">
        <w:rPr>
          <w:b/>
        </w:rPr>
        <w:t>Retained</w:t>
      </w:r>
      <w:r w:rsidRPr="004C288D">
        <w:t xml:space="preserve"> </w:t>
      </w:r>
      <w:r w:rsidR="00B16E72" w:rsidRPr="004C288D">
        <w:rPr>
          <w:b/>
        </w:rPr>
        <w:t>Business Rates</w:t>
      </w:r>
    </w:p>
    <w:p w14:paraId="50E27D4F" w14:textId="6E20318A" w:rsidR="00860300" w:rsidRPr="004C288D" w:rsidRDefault="009410B2" w:rsidP="00942056">
      <w:pPr>
        <w:spacing w:after="120"/>
        <w:ind w:left="567" w:right="386" w:hanging="567"/>
        <w:jc w:val="both"/>
      </w:pPr>
      <w:r>
        <w:t>14</w:t>
      </w:r>
      <w:r w:rsidR="00F142A6">
        <w:tab/>
      </w:r>
      <w:r w:rsidR="001E172C">
        <w:t xml:space="preserve">Business rates income collected by the Oxford City Council as billing authority is split 50/50 with central government with the balance split 80/20 between Oxford City Council and Oxfordshire County Council respectively. </w:t>
      </w:r>
      <w:r w:rsidR="009E51EC" w:rsidRPr="004C288D">
        <w:t xml:space="preserve"> </w:t>
      </w:r>
      <w:r w:rsidR="001E172C">
        <w:t xml:space="preserve">From our 80% share the Council pays a tariff to central government and retains a baseline amount (set by the Government) together with 50% of the retained income above this baseline. </w:t>
      </w:r>
      <w:r w:rsidR="00860300" w:rsidRPr="004C288D">
        <w:t xml:space="preserve">The main components of the system </w:t>
      </w:r>
      <w:r w:rsidR="002A5B89" w:rsidRPr="004C288D">
        <w:t xml:space="preserve">with estimates of individual elements </w:t>
      </w:r>
      <w:proofErr w:type="gramStart"/>
      <w:r w:rsidR="002A5B89" w:rsidRPr="004C288D">
        <w:t xml:space="preserve">for </w:t>
      </w:r>
      <w:r w:rsidR="00F87AA0">
        <w:t xml:space="preserve"> </w:t>
      </w:r>
      <w:r w:rsidR="002A5B89" w:rsidRPr="004C288D">
        <w:t>Oxford</w:t>
      </w:r>
      <w:proofErr w:type="gramEnd"/>
      <w:r w:rsidR="002A5B89" w:rsidRPr="004C288D">
        <w:t xml:space="preserve"> City for 201</w:t>
      </w:r>
      <w:r w:rsidR="00B90A58" w:rsidRPr="004C288D">
        <w:t>7</w:t>
      </w:r>
      <w:r w:rsidR="002A5B89" w:rsidRPr="004C288D">
        <w:t>/1</w:t>
      </w:r>
      <w:r w:rsidR="00B90A58" w:rsidRPr="004C288D">
        <w:t>8</w:t>
      </w:r>
      <w:r w:rsidR="002A5B89" w:rsidRPr="004C288D">
        <w:t xml:space="preserve"> are as follows</w:t>
      </w:r>
      <w:r w:rsidR="008F0D26" w:rsidRPr="004C288D">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10"/>
      </w:tblGrid>
      <w:tr w:rsidR="00096BAD" w:rsidRPr="004C288D" w14:paraId="184DF532" w14:textId="77777777" w:rsidTr="004C1C9C">
        <w:tc>
          <w:tcPr>
            <w:tcW w:w="7655" w:type="dxa"/>
            <w:gridSpan w:val="2"/>
            <w:shd w:val="clear" w:color="auto" w:fill="BFBFBF"/>
          </w:tcPr>
          <w:p w14:paraId="1BEE1951" w14:textId="77777777" w:rsidR="00096BAD" w:rsidRPr="004C288D" w:rsidRDefault="00096BAD" w:rsidP="00B90A58">
            <w:pPr>
              <w:spacing w:after="120"/>
              <w:ind w:right="386"/>
            </w:pPr>
            <w:r w:rsidRPr="004C288D">
              <w:t>Table 2 : Retained Business Rates 201</w:t>
            </w:r>
            <w:r w:rsidR="00B90A58" w:rsidRPr="004C288D">
              <w:t>7</w:t>
            </w:r>
            <w:r w:rsidRPr="004C288D">
              <w:t>-1</w:t>
            </w:r>
            <w:r w:rsidR="00B90A58" w:rsidRPr="004C288D">
              <w:t>8</w:t>
            </w:r>
          </w:p>
        </w:tc>
      </w:tr>
      <w:tr w:rsidR="00096BAD" w:rsidRPr="004C288D" w14:paraId="0C5B2843" w14:textId="77777777" w:rsidTr="004C1C9C">
        <w:tc>
          <w:tcPr>
            <w:tcW w:w="5245" w:type="dxa"/>
            <w:shd w:val="clear" w:color="auto" w:fill="BFBFBF"/>
          </w:tcPr>
          <w:p w14:paraId="01C43E8F" w14:textId="77777777" w:rsidR="00096BAD" w:rsidRPr="004C288D" w:rsidRDefault="00096BAD" w:rsidP="005823A7">
            <w:pPr>
              <w:spacing w:after="120"/>
              <w:ind w:right="386"/>
              <w:jc w:val="both"/>
            </w:pPr>
          </w:p>
        </w:tc>
        <w:tc>
          <w:tcPr>
            <w:tcW w:w="2410" w:type="dxa"/>
            <w:shd w:val="clear" w:color="auto" w:fill="BFBFBF"/>
          </w:tcPr>
          <w:p w14:paraId="60A09AAF" w14:textId="77777777" w:rsidR="00096BAD" w:rsidRPr="004C288D" w:rsidRDefault="00096BAD" w:rsidP="005823A7">
            <w:pPr>
              <w:spacing w:after="120"/>
              <w:ind w:right="386"/>
              <w:jc w:val="center"/>
            </w:pPr>
            <w:r w:rsidRPr="004C288D">
              <w:t>£million</w:t>
            </w:r>
          </w:p>
        </w:tc>
      </w:tr>
      <w:tr w:rsidR="00096BAD" w:rsidRPr="004C288D" w14:paraId="5A9BD164" w14:textId="77777777" w:rsidTr="00096BAD">
        <w:tc>
          <w:tcPr>
            <w:tcW w:w="5245" w:type="dxa"/>
            <w:shd w:val="clear" w:color="auto" w:fill="auto"/>
          </w:tcPr>
          <w:p w14:paraId="2024400C" w14:textId="77777777" w:rsidR="00096BAD" w:rsidRPr="004C288D" w:rsidRDefault="00096BAD" w:rsidP="005823A7">
            <w:pPr>
              <w:tabs>
                <w:tab w:val="left" w:pos="0"/>
              </w:tabs>
              <w:spacing w:after="120"/>
              <w:ind w:left="34" w:right="386"/>
            </w:pPr>
            <w:r w:rsidRPr="004C288D">
              <w:t>Estimated Business Rates Income</w:t>
            </w:r>
          </w:p>
        </w:tc>
        <w:tc>
          <w:tcPr>
            <w:tcW w:w="2410" w:type="dxa"/>
            <w:shd w:val="clear" w:color="auto" w:fill="auto"/>
          </w:tcPr>
          <w:p w14:paraId="29B9DE8F" w14:textId="77777777" w:rsidR="00096BAD" w:rsidRPr="004C288D" w:rsidRDefault="004C288D" w:rsidP="00B90A58">
            <w:pPr>
              <w:spacing w:after="120"/>
              <w:ind w:right="386"/>
              <w:jc w:val="right"/>
            </w:pPr>
            <w:r>
              <w:t>92.159</w:t>
            </w:r>
          </w:p>
        </w:tc>
      </w:tr>
      <w:tr w:rsidR="00096BAD" w:rsidRPr="004C288D" w14:paraId="0081F3B4" w14:textId="77777777" w:rsidTr="00096BAD">
        <w:tc>
          <w:tcPr>
            <w:tcW w:w="5245" w:type="dxa"/>
            <w:shd w:val="clear" w:color="auto" w:fill="auto"/>
          </w:tcPr>
          <w:p w14:paraId="26BCC112" w14:textId="77777777" w:rsidR="00096BAD" w:rsidRPr="004C288D" w:rsidRDefault="00096BAD" w:rsidP="005823A7">
            <w:pPr>
              <w:spacing w:after="120"/>
              <w:ind w:right="386"/>
            </w:pPr>
            <w:r w:rsidRPr="004C288D">
              <w:t>Billing Authority Share (50%)</w:t>
            </w:r>
          </w:p>
        </w:tc>
        <w:tc>
          <w:tcPr>
            <w:tcW w:w="2410" w:type="dxa"/>
            <w:shd w:val="clear" w:color="auto" w:fill="auto"/>
          </w:tcPr>
          <w:p w14:paraId="32479DEA" w14:textId="77777777" w:rsidR="00096BAD" w:rsidRPr="004C288D" w:rsidRDefault="004C288D" w:rsidP="002E3E05">
            <w:pPr>
              <w:spacing w:after="120"/>
              <w:ind w:right="386"/>
              <w:jc w:val="right"/>
            </w:pPr>
            <w:r>
              <w:t>46.080</w:t>
            </w:r>
          </w:p>
        </w:tc>
      </w:tr>
      <w:tr w:rsidR="00096BAD" w:rsidRPr="004C288D" w14:paraId="007AF1F0" w14:textId="77777777" w:rsidTr="00096BAD">
        <w:tc>
          <w:tcPr>
            <w:tcW w:w="5245" w:type="dxa"/>
            <w:shd w:val="clear" w:color="auto" w:fill="auto"/>
          </w:tcPr>
          <w:p w14:paraId="146EDDC4" w14:textId="77777777" w:rsidR="00096BAD" w:rsidRPr="004C288D" w:rsidRDefault="00096BAD" w:rsidP="002E3E05">
            <w:pPr>
              <w:spacing w:after="120"/>
              <w:ind w:right="386"/>
            </w:pPr>
            <w:r w:rsidRPr="004C288D">
              <w:t>Oxford City Share (80%)</w:t>
            </w:r>
            <w:r w:rsidRPr="004C288D">
              <w:tab/>
            </w:r>
          </w:p>
        </w:tc>
        <w:tc>
          <w:tcPr>
            <w:tcW w:w="2410" w:type="dxa"/>
            <w:shd w:val="clear" w:color="auto" w:fill="auto"/>
          </w:tcPr>
          <w:p w14:paraId="7C3E6378" w14:textId="77777777" w:rsidR="00096BAD" w:rsidRPr="004C288D" w:rsidRDefault="004C288D" w:rsidP="002E3E05">
            <w:pPr>
              <w:spacing w:after="120"/>
              <w:ind w:right="386"/>
              <w:jc w:val="right"/>
            </w:pPr>
            <w:r>
              <w:t>36.864</w:t>
            </w:r>
          </w:p>
        </w:tc>
      </w:tr>
      <w:tr w:rsidR="00096BAD" w:rsidRPr="004C288D" w14:paraId="659CFFB3" w14:textId="77777777" w:rsidTr="00096BAD">
        <w:tc>
          <w:tcPr>
            <w:tcW w:w="5245" w:type="dxa"/>
            <w:shd w:val="clear" w:color="auto" w:fill="auto"/>
          </w:tcPr>
          <w:p w14:paraId="07A03F4F" w14:textId="77777777" w:rsidR="00096BAD" w:rsidRPr="004C288D" w:rsidRDefault="00096BAD" w:rsidP="005823A7">
            <w:pPr>
              <w:spacing w:after="120"/>
              <w:ind w:right="386"/>
            </w:pPr>
            <w:r w:rsidRPr="004C288D">
              <w:t>Less Tariff paid to Government</w:t>
            </w:r>
          </w:p>
        </w:tc>
        <w:tc>
          <w:tcPr>
            <w:tcW w:w="2410" w:type="dxa"/>
            <w:shd w:val="clear" w:color="auto" w:fill="auto"/>
          </w:tcPr>
          <w:p w14:paraId="29A9793E" w14:textId="77777777" w:rsidR="00096BAD" w:rsidRPr="004C288D" w:rsidRDefault="004C288D" w:rsidP="002E3E05">
            <w:pPr>
              <w:spacing w:after="120"/>
              <w:ind w:right="386"/>
              <w:jc w:val="right"/>
            </w:pPr>
            <w:r>
              <w:t>28.254</w:t>
            </w:r>
          </w:p>
        </w:tc>
      </w:tr>
      <w:tr w:rsidR="00096BAD" w:rsidRPr="004C288D" w14:paraId="281BA509" w14:textId="77777777" w:rsidTr="00096BAD">
        <w:tc>
          <w:tcPr>
            <w:tcW w:w="5245" w:type="dxa"/>
            <w:shd w:val="clear" w:color="auto" w:fill="BFBFBF"/>
          </w:tcPr>
          <w:p w14:paraId="530A52C0" w14:textId="77777777" w:rsidR="00096BAD" w:rsidRPr="004C288D" w:rsidRDefault="00096BAD" w:rsidP="005823A7">
            <w:pPr>
              <w:spacing w:after="120"/>
              <w:ind w:right="386"/>
              <w:rPr>
                <w:b/>
              </w:rPr>
            </w:pPr>
            <w:r w:rsidRPr="004C288D">
              <w:rPr>
                <w:b/>
              </w:rPr>
              <w:t>Amount remaining after tariff</w:t>
            </w:r>
          </w:p>
        </w:tc>
        <w:tc>
          <w:tcPr>
            <w:tcW w:w="2410" w:type="dxa"/>
            <w:shd w:val="clear" w:color="auto" w:fill="BFBFBF"/>
          </w:tcPr>
          <w:p w14:paraId="4E15744E" w14:textId="77777777" w:rsidR="00096BAD" w:rsidRPr="004C288D" w:rsidRDefault="004C288D" w:rsidP="002E3E05">
            <w:pPr>
              <w:spacing w:after="120"/>
              <w:ind w:right="386"/>
              <w:jc w:val="right"/>
              <w:rPr>
                <w:b/>
              </w:rPr>
            </w:pPr>
            <w:r>
              <w:rPr>
                <w:b/>
              </w:rPr>
              <w:t>8.609</w:t>
            </w:r>
          </w:p>
        </w:tc>
      </w:tr>
      <w:tr w:rsidR="00096BAD" w:rsidRPr="004C288D" w14:paraId="578391BE" w14:textId="77777777" w:rsidTr="00096BAD">
        <w:tc>
          <w:tcPr>
            <w:tcW w:w="5245" w:type="dxa"/>
            <w:shd w:val="clear" w:color="auto" w:fill="auto"/>
          </w:tcPr>
          <w:p w14:paraId="479715CC" w14:textId="77777777" w:rsidR="00096BAD" w:rsidRPr="004C288D" w:rsidRDefault="00096BAD" w:rsidP="005823A7">
            <w:pPr>
              <w:spacing w:after="120"/>
              <w:ind w:right="386"/>
            </w:pPr>
            <w:r w:rsidRPr="004C288D">
              <w:t>Baseline Business Rates</w:t>
            </w:r>
          </w:p>
        </w:tc>
        <w:tc>
          <w:tcPr>
            <w:tcW w:w="2410" w:type="dxa"/>
            <w:shd w:val="clear" w:color="auto" w:fill="auto"/>
          </w:tcPr>
          <w:p w14:paraId="0A2C108C" w14:textId="77777777" w:rsidR="00096BAD" w:rsidRPr="004C288D" w:rsidRDefault="004C288D" w:rsidP="002E3E05">
            <w:pPr>
              <w:spacing w:after="120"/>
              <w:ind w:right="386"/>
              <w:jc w:val="right"/>
            </w:pPr>
            <w:r>
              <w:t>5.842</w:t>
            </w:r>
          </w:p>
        </w:tc>
      </w:tr>
      <w:tr w:rsidR="00096BAD" w:rsidRPr="004C288D" w14:paraId="458907CC" w14:textId="77777777" w:rsidTr="00096BAD">
        <w:tc>
          <w:tcPr>
            <w:tcW w:w="5245" w:type="dxa"/>
            <w:shd w:val="clear" w:color="auto" w:fill="auto"/>
          </w:tcPr>
          <w:p w14:paraId="6D7AF96B" w14:textId="77777777" w:rsidR="00096BAD" w:rsidRPr="004C288D" w:rsidRDefault="00096BAD" w:rsidP="004C288D">
            <w:pPr>
              <w:spacing w:after="120"/>
              <w:ind w:right="386"/>
            </w:pPr>
            <w:r w:rsidRPr="004C288D">
              <w:t>Income above baseline (</w:t>
            </w:r>
            <w:r w:rsidR="004C288D">
              <w:t>8.609-5.842</w:t>
            </w:r>
            <w:r w:rsidRPr="004C288D">
              <w:t>)</w:t>
            </w:r>
          </w:p>
        </w:tc>
        <w:tc>
          <w:tcPr>
            <w:tcW w:w="2410" w:type="dxa"/>
            <w:shd w:val="clear" w:color="auto" w:fill="auto"/>
          </w:tcPr>
          <w:p w14:paraId="21BF5E15" w14:textId="77777777" w:rsidR="00096BAD" w:rsidRPr="004C288D" w:rsidRDefault="004C288D" w:rsidP="00096BAD">
            <w:pPr>
              <w:spacing w:after="120"/>
              <w:ind w:right="386"/>
              <w:jc w:val="right"/>
            </w:pPr>
            <w:r>
              <w:t>2.768</w:t>
            </w:r>
          </w:p>
        </w:tc>
      </w:tr>
      <w:tr w:rsidR="00096BAD" w:rsidRPr="004C288D" w14:paraId="3EFCA6A6" w14:textId="77777777" w:rsidTr="00096BAD">
        <w:tc>
          <w:tcPr>
            <w:tcW w:w="5245" w:type="dxa"/>
            <w:shd w:val="clear" w:color="auto" w:fill="auto"/>
          </w:tcPr>
          <w:p w14:paraId="34FCF17B" w14:textId="77777777" w:rsidR="00096BAD" w:rsidRPr="004C288D" w:rsidRDefault="00096BAD" w:rsidP="005823A7">
            <w:pPr>
              <w:spacing w:after="120"/>
              <w:ind w:right="386"/>
            </w:pPr>
            <w:r w:rsidRPr="004C288D">
              <w:t>50% of income above baseline</w:t>
            </w:r>
          </w:p>
        </w:tc>
        <w:tc>
          <w:tcPr>
            <w:tcW w:w="2410" w:type="dxa"/>
            <w:shd w:val="clear" w:color="auto" w:fill="auto"/>
          </w:tcPr>
          <w:p w14:paraId="66C8C363" w14:textId="77777777" w:rsidR="00096BAD" w:rsidRPr="004C288D" w:rsidRDefault="004C288D" w:rsidP="002E3E05">
            <w:pPr>
              <w:spacing w:after="120"/>
              <w:ind w:right="386"/>
              <w:jc w:val="right"/>
            </w:pPr>
            <w:r>
              <w:t>1.384</w:t>
            </w:r>
          </w:p>
        </w:tc>
      </w:tr>
      <w:tr w:rsidR="004C288D" w:rsidRPr="004C288D" w14:paraId="17E7F3F4" w14:textId="77777777" w:rsidTr="004C288D">
        <w:tc>
          <w:tcPr>
            <w:tcW w:w="5245" w:type="dxa"/>
            <w:shd w:val="clear" w:color="auto" w:fill="auto"/>
          </w:tcPr>
          <w:p w14:paraId="7D92078A" w14:textId="77777777" w:rsidR="004C288D" w:rsidRPr="004C288D" w:rsidRDefault="004C288D" w:rsidP="005823A7">
            <w:pPr>
              <w:spacing w:after="120"/>
              <w:ind w:right="386"/>
            </w:pPr>
            <w:r w:rsidRPr="004C288D">
              <w:t>S31 Grant adjustment</w:t>
            </w:r>
          </w:p>
        </w:tc>
        <w:tc>
          <w:tcPr>
            <w:tcW w:w="2410" w:type="dxa"/>
            <w:shd w:val="clear" w:color="auto" w:fill="auto"/>
          </w:tcPr>
          <w:p w14:paraId="66384625" w14:textId="77777777" w:rsidR="004C288D" w:rsidRPr="004C288D" w:rsidRDefault="004C288D" w:rsidP="002E3E05">
            <w:pPr>
              <w:spacing w:after="120"/>
              <w:ind w:right="386"/>
              <w:jc w:val="right"/>
            </w:pPr>
            <w:r w:rsidRPr="004C288D">
              <w:t>(0.408)</w:t>
            </w:r>
          </w:p>
        </w:tc>
      </w:tr>
      <w:tr w:rsidR="00096BAD" w:rsidRPr="004C288D" w14:paraId="0D15346A" w14:textId="77777777" w:rsidTr="00096BAD">
        <w:tc>
          <w:tcPr>
            <w:tcW w:w="5245" w:type="dxa"/>
            <w:shd w:val="clear" w:color="auto" w:fill="BFBFBF"/>
          </w:tcPr>
          <w:p w14:paraId="38868A71" w14:textId="77777777" w:rsidR="00096BAD" w:rsidRPr="004C288D" w:rsidRDefault="00096BAD" w:rsidP="005823A7">
            <w:pPr>
              <w:spacing w:after="120"/>
              <w:ind w:right="386"/>
              <w:rPr>
                <w:b/>
              </w:rPr>
            </w:pPr>
            <w:r w:rsidRPr="004C288D">
              <w:rPr>
                <w:b/>
              </w:rPr>
              <w:t>Total retained business rate income</w:t>
            </w:r>
          </w:p>
        </w:tc>
        <w:tc>
          <w:tcPr>
            <w:tcW w:w="2410" w:type="dxa"/>
            <w:shd w:val="clear" w:color="auto" w:fill="BFBFBF"/>
          </w:tcPr>
          <w:p w14:paraId="1C79F0BD" w14:textId="77777777" w:rsidR="00096BAD" w:rsidRPr="004C288D" w:rsidRDefault="004C288D" w:rsidP="002E3E05">
            <w:pPr>
              <w:spacing w:after="120"/>
              <w:ind w:right="386"/>
              <w:jc w:val="right"/>
              <w:rPr>
                <w:b/>
              </w:rPr>
            </w:pPr>
            <w:r>
              <w:rPr>
                <w:b/>
              </w:rPr>
              <w:t>6.817</w:t>
            </w:r>
          </w:p>
        </w:tc>
      </w:tr>
    </w:tbl>
    <w:p w14:paraId="0188915E" w14:textId="77777777" w:rsidR="002E3E05" w:rsidRPr="004C288D" w:rsidRDefault="002E3E05" w:rsidP="00F74748">
      <w:pPr>
        <w:spacing w:after="120"/>
        <w:ind w:left="1440" w:right="386" w:hanging="720"/>
        <w:jc w:val="both"/>
        <w:rPr>
          <w:b/>
        </w:rPr>
      </w:pPr>
    </w:p>
    <w:p w14:paraId="23192365" w14:textId="77777777" w:rsidR="009172F5" w:rsidRDefault="009172F5" w:rsidP="00F74748">
      <w:pPr>
        <w:spacing w:after="120"/>
        <w:ind w:left="1440" w:right="386" w:hanging="720"/>
        <w:jc w:val="both"/>
        <w:rPr>
          <w:b/>
        </w:rPr>
      </w:pPr>
    </w:p>
    <w:p w14:paraId="166FABF7" w14:textId="77777777" w:rsidR="009172F5" w:rsidRDefault="009172F5" w:rsidP="00F74748">
      <w:pPr>
        <w:spacing w:after="120"/>
        <w:ind w:left="1440" w:right="386" w:hanging="720"/>
        <w:jc w:val="both"/>
        <w:rPr>
          <w:b/>
        </w:rPr>
      </w:pPr>
    </w:p>
    <w:p w14:paraId="6F3D61DE" w14:textId="77777777" w:rsidR="002A0774" w:rsidRPr="004C288D" w:rsidRDefault="00B8025B" w:rsidP="00F74748">
      <w:pPr>
        <w:spacing w:after="120"/>
        <w:ind w:left="1440" w:right="386" w:hanging="720"/>
        <w:jc w:val="both"/>
        <w:rPr>
          <w:b/>
        </w:rPr>
      </w:pPr>
      <w:r>
        <w:rPr>
          <w:b/>
        </w:rPr>
        <w:lastRenderedPageBreak/>
        <w:t>Note</w:t>
      </w:r>
    </w:p>
    <w:p w14:paraId="20E06DA0" w14:textId="77777777" w:rsidR="002A0774" w:rsidRPr="004C288D" w:rsidRDefault="002A0774" w:rsidP="00302C27">
      <w:pPr>
        <w:numPr>
          <w:ilvl w:val="0"/>
          <w:numId w:val="12"/>
        </w:numPr>
        <w:spacing w:after="120"/>
        <w:ind w:left="851" w:right="386"/>
        <w:jc w:val="both"/>
        <w:rPr>
          <w:b/>
        </w:rPr>
      </w:pPr>
      <w:r w:rsidRPr="004C288D">
        <w:rPr>
          <w:b/>
        </w:rPr>
        <w:t>Baseline</w:t>
      </w:r>
      <w:r w:rsidR="002E3E05" w:rsidRPr="004C288D">
        <w:rPr>
          <w:b/>
        </w:rPr>
        <w:t xml:space="preserve"> Business Rates</w:t>
      </w:r>
      <w:r w:rsidRPr="004C288D">
        <w:rPr>
          <w:b/>
        </w:rPr>
        <w:t xml:space="preserve"> – </w:t>
      </w:r>
      <w:r w:rsidRPr="004C288D">
        <w:t>The government</w:t>
      </w:r>
      <w:r w:rsidR="002E3E05" w:rsidRPr="004C288D">
        <w:t>’</w:t>
      </w:r>
      <w:r w:rsidRPr="004C288D">
        <w:t>s view of a fair starting point of business rates income for the billing authority based on formula grant distribution. Updated by RPI each year</w:t>
      </w:r>
      <w:r w:rsidR="00B8025B">
        <w:t>.</w:t>
      </w:r>
      <w:r w:rsidRPr="004C288D">
        <w:t xml:space="preserve"> </w:t>
      </w:r>
    </w:p>
    <w:p w14:paraId="5CDA4866" w14:textId="4A7849E5" w:rsidR="002A0774" w:rsidRPr="004C288D" w:rsidRDefault="002A0774" w:rsidP="00302C27">
      <w:pPr>
        <w:numPr>
          <w:ilvl w:val="0"/>
          <w:numId w:val="12"/>
        </w:numPr>
        <w:spacing w:after="120"/>
        <w:ind w:left="851" w:right="386"/>
        <w:jc w:val="both"/>
        <w:rPr>
          <w:b/>
        </w:rPr>
      </w:pPr>
      <w:r w:rsidRPr="004C288D">
        <w:rPr>
          <w:b/>
        </w:rPr>
        <w:t xml:space="preserve">Tariff – </w:t>
      </w:r>
      <w:r w:rsidRPr="004C288D">
        <w:t xml:space="preserve">The amount paid to the government each year by the </w:t>
      </w:r>
      <w:r w:rsidR="00A255DE">
        <w:t xml:space="preserve">Council as </w:t>
      </w:r>
      <w:r w:rsidRPr="004C288D">
        <w:t>billing authority. Updated by RPI each year.</w:t>
      </w:r>
    </w:p>
    <w:p w14:paraId="68D59B29" w14:textId="2C2A7632" w:rsidR="00AE5132" w:rsidRPr="00EA4567" w:rsidRDefault="009410B2" w:rsidP="00942056">
      <w:pPr>
        <w:spacing w:after="120"/>
        <w:ind w:left="567" w:right="386" w:hanging="567"/>
        <w:jc w:val="both"/>
      </w:pPr>
      <w:r>
        <w:t>15</w:t>
      </w:r>
      <w:r w:rsidR="00F142A6">
        <w:tab/>
      </w:r>
      <w:r w:rsidR="00EA4567" w:rsidRPr="00EA4567">
        <w:t xml:space="preserve">In </w:t>
      </w:r>
      <w:r w:rsidR="00AE5132" w:rsidRPr="00EA4567">
        <w:t>201</w:t>
      </w:r>
      <w:r w:rsidR="004B29D7" w:rsidRPr="00EA4567">
        <w:t>6</w:t>
      </w:r>
      <w:r w:rsidR="00AE5132" w:rsidRPr="00EA4567">
        <w:t>/1</w:t>
      </w:r>
      <w:r w:rsidR="004B29D7" w:rsidRPr="00EA4567">
        <w:t>7</w:t>
      </w:r>
      <w:r w:rsidR="00AE5132" w:rsidRPr="00EA4567">
        <w:t xml:space="preserve"> </w:t>
      </w:r>
      <w:r w:rsidR="00EA4567" w:rsidRPr="00EA4567">
        <w:t xml:space="preserve">indicative </w:t>
      </w:r>
      <w:r w:rsidR="00AE5132" w:rsidRPr="00EA4567">
        <w:t xml:space="preserve">figures for baseline funding and tariffs </w:t>
      </w:r>
      <w:r w:rsidR="00EA4567" w:rsidRPr="00EA4567">
        <w:t xml:space="preserve">were </w:t>
      </w:r>
      <w:r w:rsidR="00AE5132" w:rsidRPr="00EA4567">
        <w:t xml:space="preserve">provided </w:t>
      </w:r>
      <w:r w:rsidR="00EA4567" w:rsidRPr="00EA4567">
        <w:t>for 2017/18 these have been used in the preparation of the MTFP</w:t>
      </w:r>
      <w:r w:rsidR="00AE5132" w:rsidRPr="00EA4567">
        <w:t xml:space="preserve">. </w:t>
      </w:r>
    </w:p>
    <w:p w14:paraId="65AE7179" w14:textId="0F6A94D6" w:rsidR="00E75A6A" w:rsidRDefault="009410B2" w:rsidP="00942056">
      <w:pPr>
        <w:spacing w:after="120"/>
        <w:ind w:left="567" w:right="386" w:hanging="567"/>
        <w:jc w:val="both"/>
      </w:pPr>
      <w:r>
        <w:t>16</w:t>
      </w:r>
      <w:r w:rsidR="00F142A6">
        <w:tab/>
      </w:r>
      <w:r w:rsidR="001005F5" w:rsidRPr="00EA4567">
        <w:t>T</w:t>
      </w:r>
      <w:r w:rsidR="004B29D7" w:rsidRPr="00EA4567">
        <w:t xml:space="preserve">he Medium Term Financial </w:t>
      </w:r>
      <w:r w:rsidR="000C0D51" w:rsidRPr="00EA4567">
        <w:t xml:space="preserve">Strategy </w:t>
      </w:r>
      <w:r w:rsidR="004B29D7" w:rsidRPr="00EA4567">
        <w:t xml:space="preserve">allows for an estimated increase in </w:t>
      </w:r>
      <w:r w:rsidR="009105B8">
        <w:t>Business Rates</w:t>
      </w:r>
      <w:r w:rsidR="004B29D7" w:rsidRPr="00EA4567">
        <w:t xml:space="preserve"> due to Westgate re-opening in December 2017. </w:t>
      </w:r>
      <w:r w:rsidR="005E0271">
        <w:t xml:space="preserve">Projected retained </w:t>
      </w:r>
      <w:r w:rsidR="00AA26C9" w:rsidRPr="00EA4567">
        <w:t>Business Rates income</w:t>
      </w:r>
      <w:r w:rsidR="00633B35" w:rsidRPr="00EA4567">
        <w:t xml:space="preserve"> is shown in </w:t>
      </w:r>
      <w:r w:rsidR="0002042E" w:rsidRPr="00EA4567">
        <w:t>the T</w:t>
      </w:r>
      <w:r w:rsidR="007F7552" w:rsidRPr="00EA4567">
        <w:t xml:space="preserve">able </w:t>
      </w:r>
      <w:r w:rsidR="00022FE4" w:rsidRPr="00EA4567">
        <w:t>3</w:t>
      </w:r>
      <w:r w:rsidR="0002042E" w:rsidRPr="00EA4567">
        <w:t xml:space="preserve"> </w:t>
      </w:r>
      <w:r w:rsidR="008F0D26" w:rsidRPr="00EA4567">
        <w:t>below:</w:t>
      </w:r>
    </w:p>
    <w:p w14:paraId="70441947" w14:textId="77777777" w:rsidR="00345269" w:rsidRDefault="00345269" w:rsidP="00942056">
      <w:pPr>
        <w:spacing w:after="120"/>
        <w:ind w:left="567" w:right="386" w:hanging="567"/>
        <w:jc w:val="both"/>
      </w:pPr>
    </w:p>
    <w:tbl>
      <w:tblPr>
        <w:tblW w:w="95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509"/>
        <w:gridCol w:w="1763"/>
        <w:gridCol w:w="1509"/>
        <w:gridCol w:w="2976"/>
      </w:tblGrid>
      <w:tr w:rsidR="00DD0A73" w:rsidRPr="00B90A58" w14:paraId="06751125" w14:textId="77777777" w:rsidTr="00714164">
        <w:tc>
          <w:tcPr>
            <w:tcW w:w="9507" w:type="dxa"/>
            <w:gridSpan w:val="5"/>
          </w:tcPr>
          <w:p w14:paraId="7F8AAF53" w14:textId="77777777" w:rsidR="00DD0A73" w:rsidRPr="00B90A58" w:rsidRDefault="00DD0A73" w:rsidP="00B90A58">
            <w:pPr>
              <w:spacing w:after="120"/>
              <w:ind w:right="386"/>
              <w:rPr>
                <w:b/>
              </w:rPr>
            </w:pPr>
            <w:r w:rsidRPr="00B90A58">
              <w:rPr>
                <w:b/>
              </w:rPr>
              <w:t>Table 3 : Forecast Retained Business Rates 2014/15 to 20</w:t>
            </w:r>
            <w:r w:rsidR="00B90A58" w:rsidRPr="00B90A58">
              <w:rPr>
                <w:b/>
              </w:rPr>
              <w:t>20</w:t>
            </w:r>
            <w:r w:rsidRPr="00B90A58">
              <w:rPr>
                <w:b/>
              </w:rPr>
              <w:t>/</w:t>
            </w:r>
            <w:r w:rsidR="008644B0" w:rsidRPr="00B90A58">
              <w:rPr>
                <w:b/>
              </w:rPr>
              <w:t>2</w:t>
            </w:r>
            <w:r w:rsidR="00B90A58" w:rsidRPr="00B90A58">
              <w:rPr>
                <w:b/>
              </w:rPr>
              <w:t>1</w:t>
            </w:r>
          </w:p>
        </w:tc>
      </w:tr>
      <w:tr w:rsidR="008644B0" w:rsidRPr="00B90A58" w14:paraId="6191AB75" w14:textId="77777777" w:rsidTr="00714164">
        <w:tc>
          <w:tcPr>
            <w:tcW w:w="1750" w:type="dxa"/>
          </w:tcPr>
          <w:p w14:paraId="541F7402" w14:textId="77777777" w:rsidR="008644B0" w:rsidRPr="00B90A58" w:rsidRDefault="008644B0" w:rsidP="0096590F">
            <w:pPr>
              <w:spacing w:after="120"/>
              <w:ind w:right="386"/>
              <w:jc w:val="both"/>
            </w:pPr>
          </w:p>
        </w:tc>
        <w:tc>
          <w:tcPr>
            <w:tcW w:w="1509" w:type="dxa"/>
            <w:shd w:val="clear" w:color="auto" w:fill="E0E0E0"/>
          </w:tcPr>
          <w:p w14:paraId="55B25A13" w14:textId="77777777" w:rsidR="008644B0" w:rsidRPr="00B90A58" w:rsidRDefault="008644B0" w:rsidP="00943E6D">
            <w:pPr>
              <w:spacing w:after="120"/>
              <w:ind w:right="386"/>
              <w:jc w:val="center"/>
              <w:rPr>
                <w:b/>
              </w:rPr>
            </w:pPr>
            <w:r w:rsidRPr="00B90A58">
              <w:rPr>
                <w:b/>
              </w:rPr>
              <w:t>Total</w:t>
            </w:r>
          </w:p>
        </w:tc>
        <w:tc>
          <w:tcPr>
            <w:tcW w:w="1763" w:type="dxa"/>
            <w:shd w:val="clear" w:color="auto" w:fill="E0E0E0"/>
          </w:tcPr>
          <w:p w14:paraId="36367394" w14:textId="77777777" w:rsidR="008644B0" w:rsidRPr="00B90A58" w:rsidRDefault="008644B0" w:rsidP="00C16537">
            <w:pPr>
              <w:spacing w:after="120"/>
              <w:ind w:right="386"/>
              <w:jc w:val="center"/>
              <w:rPr>
                <w:b/>
              </w:rPr>
            </w:pPr>
            <w:r w:rsidRPr="00B90A58">
              <w:rPr>
                <w:b/>
              </w:rPr>
              <w:t>Collection Fund Deficit</w:t>
            </w:r>
          </w:p>
        </w:tc>
        <w:tc>
          <w:tcPr>
            <w:tcW w:w="1509" w:type="dxa"/>
            <w:shd w:val="clear" w:color="auto" w:fill="E0E0E0"/>
          </w:tcPr>
          <w:p w14:paraId="61FCC516" w14:textId="77777777" w:rsidR="008644B0" w:rsidRPr="00B90A58" w:rsidRDefault="008644B0" w:rsidP="00C16537">
            <w:pPr>
              <w:spacing w:after="120"/>
              <w:ind w:right="386"/>
              <w:jc w:val="center"/>
              <w:rPr>
                <w:b/>
              </w:rPr>
            </w:pPr>
            <w:r w:rsidRPr="00B90A58">
              <w:rPr>
                <w:b/>
              </w:rPr>
              <w:t>Total</w:t>
            </w:r>
          </w:p>
        </w:tc>
        <w:tc>
          <w:tcPr>
            <w:tcW w:w="2976" w:type="dxa"/>
            <w:shd w:val="clear" w:color="auto" w:fill="E0E0E0"/>
          </w:tcPr>
          <w:p w14:paraId="3921D268" w14:textId="77777777" w:rsidR="008644B0" w:rsidRPr="00B90A58" w:rsidRDefault="008644B0" w:rsidP="00C16537">
            <w:pPr>
              <w:spacing w:after="120"/>
              <w:ind w:right="386"/>
              <w:jc w:val="center"/>
              <w:rPr>
                <w:b/>
              </w:rPr>
            </w:pPr>
            <w:r w:rsidRPr="00B90A58">
              <w:rPr>
                <w:b/>
              </w:rPr>
              <w:t>Percentage (Reduction)/increase in retained business rates</w:t>
            </w:r>
          </w:p>
        </w:tc>
      </w:tr>
      <w:tr w:rsidR="008644B0" w:rsidRPr="00B90A58" w14:paraId="5F287BA7" w14:textId="77777777" w:rsidTr="00714164">
        <w:tc>
          <w:tcPr>
            <w:tcW w:w="1750" w:type="dxa"/>
          </w:tcPr>
          <w:p w14:paraId="2C6B92E1" w14:textId="77777777" w:rsidR="008644B0" w:rsidRPr="00B90A58" w:rsidRDefault="008644B0" w:rsidP="0096590F">
            <w:pPr>
              <w:spacing w:after="120"/>
              <w:ind w:right="386"/>
              <w:jc w:val="both"/>
            </w:pPr>
          </w:p>
        </w:tc>
        <w:tc>
          <w:tcPr>
            <w:tcW w:w="1509" w:type="dxa"/>
            <w:shd w:val="clear" w:color="auto" w:fill="E0E0E0"/>
          </w:tcPr>
          <w:p w14:paraId="35EE8061" w14:textId="77777777" w:rsidR="008644B0" w:rsidRPr="00B90A58" w:rsidRDefault="008644B0" w:rsidP="00943E6D">
            <w:pPr>
              <w:spacing w:after="120"/>
              <w:ind w:right="386"/>
              <w:jc w:val="center"/>
              <w:rPr>
                <w:b/>
              </w:rPr>
            </w:pPr>
            <w:r w:rsidRPr="00B90A58">
              <w:rPr>
                <w:b/>
              </w:rPr>
              <w:t>£million</w:t>
            </w:r>
          </w:p>
        </w:tc>
        <w:tc>
          <w:tcPr>
            <w:tcW w:w="1763" w:type="dxa"/>
            <w:shd w:val="clear" w:color="auto" w:fill="E0E0E0"/>
          </w:tcPr>
          <w:p w14:paraId="19BFDD63" w14:textId="77777777" w:rsidR="008644B0" w:rsidRPr="00B90A58" w:rsidRDefault="008644B0" w:rsidP="0096590F">
            <w:pPr>
              <w:spacing w:after="120"/>
              <w:ind w:right="386"/>
              <w:jc w:val="center"/>
              <w:rPr>
                <w:b/>
              </w:rPr>
            </w:pPr>
            <w:r w:rsidRPr="00B90A58">
              <w:rPr>
                <w:b/>
              </w:rPr>
              <w:t>£million</w:t>
            </w:r>
          </w:p>
        </w:tc>
        <w:tc>
          <w:tcPr>
            <w:tcW w:w="1509" w:type="dxa"/>
            <w:shd w:val="clear" w:color="auto" w:fill="E0E0E0"/>
          </w:tcPr>
          <w:p w14:paraId="709CD1C3" w14:textId="77777777" w:rsidR="008644B0" w:rsidRPr="00B90A58" w:rsidRDefault="008644B0" w:rsidP="0096590F">
            <w:pPr>
              <w:spacing w:after="120"/>
              <w:ind w:right="386"/>
              <w:jc w:val="center"/>
              <w:rPr>
                <w:b/>
              </w:rPr>
            </w:pPr>
            <w:r w:rsidRPr="00B90A58">
              <w:rPr>
                <w:b/>
              </w:rPr>
              <w:t>£million</w:t>
            </w:r>
          </w:p>
        </w:tc>
        <w:tc>
          <w:tcPr>
            <w:tcW w:w="2976" w:type="dxa"/>
            <w:shd w:val="clear" w:color="auto" w:fill="E0E0E0"/>
          </w:tcPr>
          <w:p w14:paraId="4B282BE3" w14:textId="77777777" w:rsidR="008644B0" w:rsidRPr="00B90A58" w:rsidRDefault="008644B0" w:rsidP="0096590F">
            <w:pPr>
              <w:spacing w:after="120"/>
              <w:ind w:right="386"/>
              <w:jc w:val="center"/>
              <w:rPr>
                <w:b/>
              </w:rPr>
            </w:pPr>
            <w:r w:rsidRPr="00B90A58">
              <w:rPr>
                <w:b/>
              </w:rPr>
              <w:t>%</w:t>
            </w:r>
          </w:p>
        </w:tc>
      </w:tr>
      <w:tr w:rsidR="008644B0" w:rsidRPr="00B90A58" w14:paraId="66E3D51D" w14:textId="77777777" w:rsidTr="00714164">
        <w:tc>
          <w:tcPr>
            <w:tcW w:w="1750" w:type="dxa"/>
          </w:tcPr>
          <w:p w14:paraId="2F1CADDB" w14:textId="77777777" w:rsidR="008644B0" w:rsidRPr="00B90A58" w:rsidRDefault="008644B0" w:rsidP="0096590F">
            <w:pPr>
              <w:spacing w:after="120"/>
              <w:ind w:right="386"/>
              <w:jc w:val="both"/>
            </w:pPr>
            <w:r w:rsidRPr="00B90A58">
              <w:t>2014/15 *</w:t>
            </w:r>
          </w:p>
        </w:tc>
        <w:tc>
          <w:tcPr>
            <w:tcW w:w="1509" w:type="dxa"/>
          </w:tcPr>
          <w:p w14:paraId="7A466B85" w14:textId="77777777" w:rsidR="008644B0" w:rsidRPr="00B90A58" w:rsidRDefault="008644B0" w:rsidP="00943E6D">
            <w:pPr>
              <w:spacing w:after="120"/>
              <w:jc w:val="right"/>
            </w:pPr>
            <w:r w:rsidRPr="00B90A58">
              <w:t>6.460</w:t>
            </w:r>
          </w:p>
        </w:tc>
        <w:tc>
          <w:tcPr>
            <w:tcW w:w="1763" w:type="dxa"/>
          </w:tcPr>
          <w:p w14:paraId="7A97B9A9" w14:textId="77777777" w:rsidR="008644B0" w:rsidRPr="00B90A58" w:rsidRDefault="008644B0" w:rsidP="005E4245">
            <w:pPr>
              <w:spacing w:after="120"/>
              <w:jc w:val="right"/>
            </w:pPr>
            <w:r w:rsidRPr="00B90A58">
              <w:t>-</w:t>
            </w:r>
          </w:p>
        </w:tc>
        <w:tc>
          <w:tcPr>
            <w:tcW w:w="1509" w:type="dxa"/>
          </w:tcPr>
          <w:p w14:paraId="29BA7B69" w14:textId="77777777" w:rsidR="008644B0" w:rsidRPr="00B90A58" w:rsidRDefault="008644B0" w:rsidP="000C4C6F">
            <w:pPr>
              <w:spacing w:after="120"/>
              <w:jc w:val="right"/>
            </w:pPr>
            <w:r w:rsidRPr="00B90A58">
              <w:t>6.460</w:t>
            </w:r>
          </w:p>
        </w:tc>
        <w:tc>
          <w:tcPr>
            <w:tcW w:w="2976" w:type="dxa"/>
          </w:tcPr>
          <w:p w14:paraId="721D3E16" w14:textId="77777777" w:rsidR="008644B0" w:rsidRPr="00B90A58" w:rsidRDefault="008644B0" w:rsidP="000C4C6F">
            <w:pPr>
              <w:spacing w:after="120"/>
              <w:jc w:val="right"/>
            </w:pPr>
            <w:r w:rsidRPr="00B90A58">
              <w:t>14.00</w:t>
            </w:r>
          </w:p>
        </w:tc>
      </w:tr>
      <w:tr w:rsidR="008644B0" w:rsidRPr="00B90A58" w14:paraId="1E1164DC" w14:textId="77777777" w:rsidTr="00714164">
        <w:tc>
          <w:tcPr>
            <w:tcW w:w="1750" w:type="dxa"/>
          </w:tcPr>
          <w:p w14:paraId="4D73B4F1" w14:textId="77777777" w:rsidR="008644B0" w:rsidRPr="00B90A58" w:rsidRDefault="008644B0" w:rsidP="0096590F">
            <w:pPr>
              <w:spacing w:after="120"/>
              <w:ind w:right="386"/>
              <w:jc w:val="both"/>
            </w:pPr>
            <w:r w:rsidRPr="00B90A58">
              <w:t>2015/16 **</w:t>
            </w:r>
          </w:p>
        </w:tc>
        <w:tc>
          <w:tcPr>
            <w:tcW w:w="1509" w:type="dxa"/>
          </w:tcPr>
          <w:p w14:paraId="6AF1619B" w14:textId="77777777" w:rsidR="008644B0" w:rsidRPr="00B90A58" w:rsidRDefault="008644B0" w:rsidP="00943E6D">
            <w:pPr>
              <w:spacing w:after="120"/>
              <w:jc w:val="right"/>
            </w:pPr>
            <w:r w:rsidRPr="00B90A58">
              <w:t>6.303</w:t>
            </w:r>
          </w:p>
        </w:tc>
        <w:tc>
          <w:tcPr>
            <w:tcW w:w="1763" w:type="dxa"/>
          </w:tcPr>
          <w:p w14:paraId="493A7244" w14:textId="77777777" w:rsidR="008644B0" w:rsidRPr="00B90A58" w:rsidRDefault="008644B0" w:rsidP="005E4245">
            <w:pPr>
              <w:spacing w:after="120"/>
              <w:jc w:val="right"/>
            </w:pPr>
            <w:r w:rsidRPr="00B90A58">
              <w:t>-</w:t>
            </w:r>
          </w:p>
        </w:tc>
        <w:tc>
          <w:tcPr>
            <w:tcW w:w="1509" w:type="dxa"/>
          </w:tcPr>
          <w:p w14:paraId="623E7763" w14:textId="77777777" w:rsidR="008644B0" w:rsidRPr="00B90A58" w:rsidRDefault="008644B0" w:rsidP="00F53223">
            <w:pPr>
              <w:spacing w:after="120"/>
              <w:jc w:val="right"/>
            </w:pPr>
            <w:r w:rsidRPr="00B90A58">
              <w:t>6.303</w:t>
            </w:r>
          </w:p>
        </w:tc>
        <w:tc>
          <w:tcPr>
            <w:tcW w:w="2976" w:type="dxa"/>
          </w:tcPr>
          <w:p w14:paraId="11770542" w14:textId="77777777" w:rsidR="008644B0" w:rsidRPr="00B90A58" w:rsidRDefault="008644B0" w:rsidP="00F53223">
            <w:pPr>
              <w:spacing w:after="120"/>
              <w:jc w:val="right"/>
            </w:pPr>
            <w:r w:rsidRPr="00B90A58">
              <w:t>(2.40)</w:t>
            </w:r>
          </w:p>
        </w:tc>
      </w:tr>
      <w:tr w:rsidR="008644B0" w:rsidRPr="00B90A58" w14:paraId="60C75407" w14:textId="77777777" w:rsidTr="00714164">
        <w:tc>
          <w:tcPr>
            <w:tcW w:w="1750" w:type="dxa"/>
          </w:tcPr>
          <w:p w14:paraId="1C570206" w14:textId="77777777" w:rsidR="008644B0" w:rsidRPr="00B90A58" w:rsidRDefault="008644B0" w:rsidP="0096590F">
            <w:pPr>
              <w:spacing w:after="120"/>
              <w:ind w:right="386"/>
              <w:jc w:val="both"/>
            </w:pPr>
            <w:r w:rsidRPr="00B90A58">
              <w:t>2016/17</w:t>
            </w:r>
          </w:p>
        </w:tc>
        <w:tc>
          <w:tcPr>
            <w:tcW w:w="1509" w:type="dxa"/>
          </w:tcPr>
          <w:p w14:paraId="50F55933" w14:textId="77777777" w:rsidR="008644B0" w:rsidRPr="00B90A58" w:rsidRDefault="008644B0" w:rsidP="008644B0">
            <w:pPr>
              <w:spacing w:after="120"/>
              <w:jc w:val="right"/>
            </w:pPr>
            <w:r w:rsidRPr="00B90A58">
              <w:t>6.246</w:t>
            </w:r>
          </w:p>
        </w:tc>
        <w:tc>
          <w:tcPr>
            <w:tcW w:w="1763" w:type="dxa"/>
          </w:tcPr>
          <w:p w14:paraId="6F6BDC21" w14:textId="77777777" w:rsidR="008644B0" w:rsidRPr="00B90A58" w:rsidRDefault="008644B0" w:rsidP="008644B0">
            <w:pPr>
              <w:spacing w:after="120"/>
              <w:jc w:val="right"/>
            </w:pPr>
            <w:r w:rsidRPr="00B90A58">
              <w:t>(1.802)</w:t>
            </w:r>
          </w:p>
        </w:tc>
        <w:tc>
          <w:tcPr>
            <w:tcW w:w="1509" w:type="dxa"/>
          </w:tcPr>
          <w:p w14:paraId="17E8DFB1" w14:textId="77777777" w:rsidR="008644B0" w:rsidRPr="00B90A58" w:rsidRDefault="008644B0" w:rsidP="008644B0">
            <w:pPr>
              <w:spacing w:after="120"/>
              <w:jc w:val="right"/>
            </w:pPr>
            <w:r w:rsidRPr="00B90A58">
              <w:t>4.444</w:t>
            </w:r>
          </w:p>
        </w:tc>
        <w:tc>
          <w:tcPr>
            <w:tcW w:w="2976" w:type="dxa"/>
          </w:tcPr>
          <w:p w14:paraId="5BDA4CF6" w14:textId="77777777" w:rsidR="008644B0" w:rsidRPr="00B90A58" w:rsidRDefault="008644B0" w:rsidP="00F53223">
            <w:pPr>
              <w:spacing w:after="120"/>
              <w:jc w:val="right"/>
            </w:pPr>
            <w:r w:rsidRPr="00B90A58">
              <w:t>(29.49)</w:t>
            </w:r>
          </w:p>
        </w:tc>
      </w:tr>
      <w:tr w:rsidR="008644B0" w:rsidRPr="00B90A58" w14:paraId="53527A1F" w14:textId="77777777" w:rsidTr="00714164">
        <w:tc>
          <w:tcPr>
            <w:tcW w:w="1750" w:type="dxa"/>
          </w:tcPr>
          <w:p w14:paraId="59EF8880" w14:textId="77777777" w:rsidR="008644B0" w:rsidRPr="00B90A58" w:rsidRDefault="008644B0" w:rsidP="0096590F">
            <w:pPr>
              <w:spacing w:after="120"/>
              <w:ind w:right="386"/>
              <w:jc w:val="both"/>
            </w:pPr>
            <w:r w:rsidRPr="00B90A58">
              <w:t>2017/18</w:t>
            </w:r>
            <w:r w:rsidR="009A1CA5" w:rsidRPr="00B90A58">
              <w:t>***</w:t>
            </w:r>
          </w:p>
        </w:tc>
        <w:tc>
          <w:tcPr>
            <w:tcW w:w="1509" w:type="dxa"/>
          </w:tcPr>
          <w:p w14:paraId="55548F49" w14:textId="77777777" w:rsidR="008644B0" w:rsidRPr="00B90A58" w:rsidRDefault="008644B0" w:rsidP="00B90A58">
            <w:pPr>
              <w:spacing w:after="120"/>
              <w:jc w:val="right"/>
            </w:pPr>
            <w:r w:rsidRPr="00B90A58">
              <w:t>6.</w:t>
            </w:r>
            <w:r w:rsidR="00B90A58" w:rsidRPr="00B90A58">
              <w:t>817</w:t>
            </w:r>
          </w:p>
        </w:tc>
        <w:tc>
          <w:tcPr>
            <w:tcW w:w="1763" w:type="dxa"/>
          </w:tcPr>
          <w:p w14:paraId="2809B5DE" w14:textId="77777777" w:rsidR="008644B0" w:rsidRPr="00B90A58" w:rsidRDefault="008644B0" w:rsidP="005E4245">
            <w:pPr>
              <w:spacing w:after="120"/>
              <w:jc w:val="right"/>
            </w:pPr>
            <w:r w:rsidRPr="00B90A58">
              <w:t>-</w:t>
            </w:r>
          </w:p>
        </w:tc>
        <w:tc>
          <w:tcPr>
            <w:tcW w:w="1509" w:type="dxa"/>
          </w:tcPr>
          <w:p w14:paraId="1792D107" w14:textId="77777777" w:rsidR="008644B0" w:rsidRPr="00B90A58" w:rsidRDefault="008644B0" w:rsidP="00B90A58">
            <w:pPr>
              <w:spacing w:after="120"/>
              <w:jc w:val="right"/>
            </w:pPr>
            <w:r w:rsidRPr="00B90A58">
              <w:t>6.</w:t>
            </w:r>
            <w:r w:rsidR="00B90A58" w:rsidRPr="00B90A58">
              <w:t>817</w:t>
            </w:r>
          </w:p>
        </w:tc>
        <w:tc>
          <w:tcPr>
            <w:tcW w:w="2976" w:type="dxa"/>
          </w:tcPr>
          <w:p w14:paraId="7669C90A" w14:textId="77777777" w:rsidR="008644B0" w:rsidRPr="00B90A58" w:rsidRDefault="00B90A58" w:rsidP="00B90A58">
            <w:pPr>
              <w:spacing w:after="120"/>
              <w:jc w:val="right"/>
            </w:pPr>
            <w:r w:rsidRPr="00B90A58">
              <w:t>53.40</w:t>
            </w:r>
          </w:p>
        </w:tc>
      </w:tr>
      <w:tr w:rsidR="008644B0" w:rsidRPr="00B90A58" w14:paraId="25668B0F" w14:textId="77777777" w:rsidTr="00714164">
        <w:tc>
          <w:tcPr>
            <w:tcW w:w="1750" w:type="dxa"/>
          </w:tcPr>
          <w:p w14:paraId="1E23C9E9" w14:textId="77777777" w:rsidR="008644B0" w:rsidRPr="00B90A58" w:rsidRDefault="009A1CA5" w:rsidP="0096590F">
            <w:pPr>
              <w:spacing w:after="120"/>
              <w:ind w:right="386"/>
              <w:jc w:val="both"/>
            </w:pPr>
            <w:r w:rsidRPr="00B90A58">
              <w:t>2018/19</w:t>
            </w:r>
          </w:p>
        </w:tc>
        <w:tc>
          <w:tcPr>
            <w:tcW w:w="1509" w:type="dxa"/>
          </w:tcPr>
          <w:p w14:paraId="5E05B088" w14:textId="77777777" w:rsidR="008644B0" w:rsidRPr="00B90A58" w:rsidRDefault="00B90A58" w:rsidP="00943E6D">
            <w:pPr>
              <w:spacing w:after="120"/>
              <w:jc w:val="right"/>
            </w:pPr>
            <w:r w:rsidRPr="00B90A58">
              <w:t>8.243</w:t>
            </w:r>
          </w:p>
        </w:tc>
        <w:tc>
          <w:tcPr>
            <w:tcW w:w="1763" w:type="dxa"/>
          </w:tcPr>
          <w:p w14:paraId="1B5236C9" w14:textId="77777777" w:rsidR="008644B0" w:rsidRPr="00B90A58" w:rsidRDefault="008644B0" w:rsidP="005E4245">
            <w:pPr>
              <w:spacing w:after="120"/>
              <w:jc w:val="right"/>
            </w:pPr>
            <w:r w:rsidRPr="00B90A58">
              <w:t>-</w:t>
            </w:r>
          </w:p>
        </w:tc>
        <w:tc>
          <w:tcPr>
            <w:tcW w:w="1509" w:type="dxa"/>
          </w:tcPr>
          <w:p w14:paraId="3C0C8DA5" w14:textId="77777777" w:rsidR="008644B0" w:rsidRPr="00B90A58" w:rsidRDefault="00B90A58" w:rsidP="005E4245">
            <w:pPr>
              <w:spacing w:after="120"/>
              <w:jc w:val="right"/>
            </w:pPr>
            <w:r w:rsidRPr="00B90A58">
              <w:t>8.243</w:t>
            </w:r>
          </w:p>
        </w:tc>
        <w:tc>
          <w:tcPr>
            <w:tcW w:w="2976" w:type="dxa"/>
          </w:tcPr>
          <w:p w14:paraId="48A2B780" w14:textId="77777777" w:rsidR="008644B0" w:rsidRPr="00B90A58" w:rsidRDefault="00B90A58" w:rsidP="005E4245">
            <w:pPr>
              <w:spacing w:after="120"/>
              <w:jc w:val="right"/>
            </w:pPr>
            <w:r w:rsidRPr="00B90A58">
              <w:t>20.92</w:t>
            </w:r>
          </w:p>
        </w:tc>
      </w:tr>
      <w:tr w:rsidR="008644B0" w:rsidRPr="00B90A58" w14:paraId="215F458B" w14:textId="77777777" w:rsidTr="00714164">
        <w:tc>
          <w:tcPr>
            <w:tcW w:w="1750" w:type="dxa"/>
          </w:tcPr>
          <w:p w14:paraId="69F184F4" w14:textId="77777777" w:rsidR="008644B0" w:rsidRPr="00B90A58" w:rsidRDefault="008644B0" w:rsidP="0096590F">
            <w:pPr>
              <w:spacing w:after="120"/>
              <w:ind w:right="386"/>
              <w:jc w:val="both"/>
            </w:pPr>
            <w:r w:rsidRPr="00B90A58">
              <w:t>2019/20</w:t>
            </w:r>
          </w:p>
        </w:tc>
        <w:tc>
          <w:tcPr>
            <w:tcW w:w="1509" w:type="dxa"/>
          </w:tcPr>
          <w:p w14:paraId="718681EB" w14:textId="77777777" w:rsidR="008644B0" w:rsidRPr="00B90A58" w:rsidRDefault="00B90A58" w:rsidP="00943E6D">
            <w:pPr>
              <w:spacing w:after="120"/>
              <w:jc w:val="right"/>
            </w:pPr>
            <w:r w:rsidRPr="00B90A58">
              <w:t>8.136</w:t>
            </w:r>
          </w:p>
        </w:tc>
        <w:tc>
          <w:tcPr>
            <w:tcW w:w="1763" w:type="dxa"/>
          </w:tcPr>
          <w:p w14:paraId="5033092F" w14:textId="77777777" w:rsidR="008644B0" w:rsidRPr="00B90A58" w:rsidRDefault="008644B0" w:rsidP="005E4245">
            <w:pPr>
              <w:spacing w:after="120"/>
              <w:jc w:val="right"/>
            </w:pPr>
            <w:r w:rsidRPr="00B90A58">
              <w:t>-</w:t>
            </w:r>
          </w:p>
        </w:tc>
        <w:tc>
          <w:tcPr>
            <w:tcW w:w="1509" w:type="dxa"/>
          </w:tcPr>
          <w:p w14:paraId="50F430CE" w14:textId="77777777" w:rsidR="008644B0" w:rsidRPr="00B90A58" w:rsidRDefault="00B90A58" w:rsidP="005E4245">
            <w:pPr>
              <w:spacing w:after="120"/>
              <w:jc w:val="right"/>
            </w:pPr>
            <w:r w:rsidRPr="00B90A58">
              <w:t>8.136</w:t>
            </w:r>
          </w:p>
        </w:tc>
        <w:tc>
          <w:tcPr>
            <w:tcW w:w="2976" w:type="dxa"/>
          </w:tcPr>
          <w:p w14:paraId="43013BC8" w14:textId="77777777" w:rsidR="008644B0" w:rsidRPr="00B90A58" w:rsidRDefault="00B90A58" w:rsidP="005E4245">
            <w:pPr>
              <w:spacing w:after="120"/>
              <w:jc w:val="right"/>
            </w:pPr>
            <w:r w:rsidRPr="00B90A58">
              <w:t>(1.30)</w:t>
            </w:r>
          </w:p>
        </w:tc>
      </w:tr>
      <w:tr w:rsidR="00B90A58" w:rsidRPr="00B90A58" w14:paraId="613FF9EB" w14:textId="77777777" w:rsidTr="00714164">
        <w:tc>
          <w:tcPr>
            <w:tcW w:w="1750" w:type="dxa"/>
          </w:tcPr>
          <w:p w14:paraId="5EFBAFD3" w14:textId="77777777" w:rsidR="00B90A58" w:rsidRPr="00B90A58" w:rsidRDefault="00B90A58" w:rsidP="0096590F">
            <w:pPr>
              <w:spacing w:after="120"/>
              <w:ind w:right="386"/>
              <w:jc w:val="both"/>
            </w:pPr>
            <w:r w:rsidRPr="00B90A58">
              <w:t>2020/21</w:t>
            </w:r>
          </w:p>
        </w:tc>
        <w:tc>
          <w:tcPr>
            <w:tcW w:w="1509" w:type="dxa"/>
          </w:tcPr>
          <w:p w14:paraId="789512AE" w14:textId="77777777" w:rsidR="00B90A58" w:rsidRPr="00B90A58" w:rsidRDefault="00B90A58" w:rsidP="00943E6D">
            <w:pPr>
              <w:spacing w:after="120"/>
              <w:jc w:val="right"/>
            </w:pPr>
            <w:r w:rsidRPr="00B90A58">
              <w:t>8.145</w:t>
            </w:r>
          </w:p>
        </w:tc>
        <w:tc>
          <w:tcPr>
            <w:tcW w:w="1763" w:type="dxa"/>
          </w:tcPr>
          <w:p w14:paraId="09FAA609" w14:textId="77777777" w:rsidR="00B90A58" w:rsidRPr="00B90A58" w:rsidRDefault="00B90A58" w:rsidP="005E4245">
            <w:pPr>
              <w:spacing w:after="120"/>
              <w:jc w:val="right"/>
            </w:pPr>
          </w:p>
        </w:tc>
        <w:tc>
          <w:tcPr>
            <w:tcW w:w="1509" w:type="dxa"/>
          </w:tcPr>
          <w:p w14:paraId="6FC04E74" w14:textId="77777777" w:rsidR="00B90A58" w:rsidRPr="00B90A58" w:rsidRDefault="00B90A58" w:rsidP="005E4245">
            <w:pPr>
              <w:spacing w:after="120"/>
              <w:jc w:val="right"/>
            </w:pPr>
            <w:r w:rsidRPr="00B90A58">
              <w:t>8.145</w:t>
            </w:r>
          </w:p>
        </w:tc>
        <w:tc>
          <w:tcPr>
            <w:tcW w:w="2976" w:type="dxa"/>
          </w:tcPr>
          <w:p w14:paraId="3F8EB845" w14:textId="77777777" w:rsidR="00B90A58" w:rsidRPr="00B90A58" w:rsidRDefault="00B90A58" w:rsidP="005E4245">
            <w:pPr>
              <w:spacing w:after="120"/>
              <w:jc w:val="right"/>
            </w:pPr>
            <w:r w:rsidRPr="00B90A58">
              <w:t>0.11</w:t>
            </w:r>
          </w:p>
        </w:tc>
      </w:tr>
    </w:tbl>
    <w:p w14:paraId="6E6397D1" w14:textId="77777777" w:rsidR="007F7552" w:rsidRPr="00B90A58" w:rsidRDefault="007F7552" w:rsidP="00C93B3F">
      <w:pPr>
        <w:spacing w:after="120"/>
        <w:ind w:left="1440" w:right="386" w:hanging="720"/>
        <w:jc w:val="both"/>
      </w:pPr>
    </w:p>
    <w:p w14:paraId="7DC418E5" w14:textId="541C0271" w:rsidR="007F7552" w:rsidRPr="00B90A58" w:rsidRDefault="0002042E" w:rsidP="00942056">
      <w:pPr>
        <w:spacing w:after="120"/>
        <w:ind w:left="567" w:right="386"/>
        <w:jc w:val="both"/>
      </w:pPr>
      <w:r w:rsidRPr="00B90A58">
        <w:t xml:space="preserve">* </w:t>
      </w:r>
      <w:r w:rsidR="003B7E6E" w:rsidRPr="00B90A58">
        <w:t xml:space="preserve">Within the </w:t>
      </w:r>
      <w:r w:rsidR="00EC3248">
        <w:t xml:space="preserve">Retained Business </w:t>
      </w:r>
      <w:r w:rsidR="003B7E6E" w:rsidRPr="00B90A58">
        <w:t xml:space="preserve">rates figures is an assumed level of grant funding for 2011/12 Council Tax Freeze </w:t>
      </w:r>
      <w:r w:rsidR="005E0271">
        <w:t>grant</w:t>
      </w:r>
      <w:r w:rsidR="003B7E6E" w:rsidRPr="00B90A58">
        <w:t xml:space="preserve"> and Homelessness Prevention of £129k and £401k respectively.</w:t>
      </w:r>
    </w:p>
    <w:p w14:paraId="66FBFFA7" w14:textId="77777777" w:rsidR="00B5786C" w:rsidRPr="00B90A58" w:rsidRDefault="00B5786C" w:rsidP="00942056">
      <w:pPr>
        <w:spacing w:after="120"/>
        <w:ind w:left="567" w:right="386"/>
        <w:jc w:val="both"/>
      </w:pPr>
      <w:r w:rsidRPr="00B90A58">
        <w:t>** Westgate development commenced</w:t>
      </w:r>
    </w:p>
    <w:p w14:paraId="6C8B8A40" w14:textId="77777777" w:rsidR="00F53223" w:rsidRPr="00B90A58" w:rsidRDefault="00F53223" w:rsidP="00942056">
      <w:pPr>
        <w:spacing w:after="120"/>
        <w:ind w:left="567" w:right="386"/>
        <w:jc w:val="both"/>
      </w:pPr>
      <w:r w:rsidRPr="00B90A58">
        <w:t xml:space="preserve">*** Westgate </w:t>
      </w:r>
      <w:r w:rsidR="004A7165" w:rsidRPr="00B90A58">
        <w:t xml:space="preserve">development </w:t>
      </w:r>
      <w:r w:rsidRPr="00B90A58">
        <w:t>completed</w:t>
      </w:r>
    </w:p>
    <w:p w14:paraId="40439842" w14:textId="77777777" w:rsidR="004A7165" w:rsidRPr="002C2483" w:rsidRDefault="004A7165" w:rsidP="004064D4">
      <w:pPr>
        <w:spacing w:after="120"/>
        <w:ind w:left="1440" w:right="386"/>
        <w:jc w:val="both"/>
        <w:rPr>
          <w:highlight w:val="yellow"/>
        </w:rPr>
      </w:pPr>
    </w:p>
    <w:p w14:paraId="7C35021A" w14:textId="77777777" w:rsidR="00E547AA" w:rsidRPr="00D3287B" w:rsidRDefault="00E547AA" w:rsidP="00942056">
      <w:pPr>
        <w:spacing w:after="120"/>
        <w:ind w:left="1440" w:right="386" w:hanging="873"/>
        <w:jc w:val="both"/>
        <w:rPr>
          <w:b/>
        </w:rPr>
      </w:pPr>
      <w:r w:rsidRPr="00D3287B">
        <w:rPr>
          <w:b/>
        </w:rPr>
        <w:t>Oxfordshire Pool Arrangements</w:t>
      </w:r>
    </w:p>
    <w:p w14:paraId="189E8F64" w14:textId="77777777" w:rsidR="00357552" w:rsidRPr="00D3287B" w:rsidRDefault="009410B2" w:rsidP="00942056">
      <w:pPr>
        <w:pStyle w:val="ReportNumbering"/>
        <w:numPr>
          <w:ilvl w:val="0"/>
          <w:numId w:val="0"/>
        </w:numPr>
        <w:ind w:left="567" w:hanging="567"/>
      </w:pPr>
      <w:r>
        <w:t>17</w:t>
      </w:r>
      <w:r w:rsidR="00E547AA" w:rsidRPr="00D3287B">
        <w:tab/>
        <w:t xml:space="preserve">As part of the business rates retention system councils can decide to group together and “pool” their business rates receipts </w:t>
      </w:r>
      <w:r w:rsidR="00465B62" w:rsidRPr="00D3287B">
        <w:t xml:space="preserve">to manage risk </w:t>
      </w:r>
      <w:r w:rsidR="00E547AA" w:rsidRPr="00D3287B">
        <w:t xml:space="preserve">(subject to approval from the Secretary of State). </w:t>
      </w:r>
    </w:p>
    <w:p w14:paraId="15EFB131" w14:textId="77777777" w:rsidR="00D3287B" w:rsidRPr="00D3287B" w:rsidRDefault="009410B2" w:rsidP="00942056">
      <w:pPr>
        <w:pStyle w:val="ReportNumbering"/>
        <w:numPr>
          <w:ilvl w:val="0"/>
          <w:numId w:val="0"/>
        </w:numPr>
        <w:ind w:left="567" w:hanging="567"/>
      </w:pPr>
      <w:r>
        <w:t>18</w:t>
      </w:r>
      <w:r w:rsidR="00BE2143" w:rsidRPr="00D3287B">
        <w:tab/>
      </w:r>
      <w:r w:rsidR="00B8025B">
        <w:t>In previous years an</w:t>
      </w:r>
      <w:r w:rsidR="00BE2143" w:rsidRPr="00D3287B">
        <w:t xml:space="preserve"> Oxfordshire pool consisting of Oxfordshire County Council (OCC), Cherwell District Council (CDC) and West Oxfordshire District Council (WODC) </w:t>
      </w:r>
      <w:r w:rsidR="00551AC9" w:rsidRPr="00D3287B">
        <w:t>has existed</w:t>
      </w:r>
      <w:r w:rsidR="00357552" w:rsidRPr="00D3287B">
        <w:t>.</w:t>
      </w:r>
      <w:r w:rsidR="00BE2143" w:rsidRPr="00D3287B">
        <w:t xml:space="preserve"> </w:t>
      </w:r>
    </w:p>
    <w:p w14:paraId="276D71AE" w14:textId="77777777" w:rsidR="00BF3158" w:rsidRPr="00D3287B" w:rsidRDefault="009410B2" w:rsidP="00942056">
      <w:pPr>
        <w:pStyle w:val="ReportNumbering"/>
        <w:numPr>
          <w:ilvl w:val="0"/>
          <w:numId w:val="0"/>
        </w:numPr>
        <w:ind w:left="567" w:hanging="567"/>
      </w:pPr>
      <w:r>
        <w:lastRenderedPageBreak/>
        <w:t>19</w:t>
      </w:r>
      <w:r w:rsidR="00BF3158" w:rsidRPr="00D3287B">
        <w:tab/>
      </w:r>
      <w:r w:rsidR="004B29D7" w:rsidRPr="00D3287B">
        <w:t>Although yet to be confirmed it is likely that a</w:t>
      </w:r>
      <w:r w:rsidR="00B8025B">
        <w:t xml:space="preserve"> similar </w:t>
      </w:r>
      <w:r w:rsidR="004B29D7" w:rsidRPr="00D3287B">
        <w:t xml:space="preserve">Pool will </w:t>
      </w:r>
      <w:r w:rsidR="00B8025B">
        <w:t>be formed for 2017-18 sin</w:t>
      </w:r>
      <w:r w:rsidR="004B29D7" w:rsidRPr="00D3287B">
        <w:t>ce this is the most financially advan</w:t>
      </w:r>
      <w:r w:rsidR="00494B0D" w:rsidRPr="00D3287B">
        <w:t>tageous for the County as a whole.</w:t>
      </w:r>
    </w:p>
    <w:p w14:paraId="2CAEE1A0" w14:textId="77777777" w:rsidR="00BF3158" w:rsidRPr="00494B0D" w:rsidRDefault="00BF3158" w:rsidP="00942056">
      <w:pPr>
        <w:pStyle w:val="ReportNumbering"/>
        <w:numPr>
          <w:ilvl w:val="0"/>
          <w:numId w:val="0"/>
        </w:numPr>
        <w:ind w:left="1440" w:hanging="873"/>
        <w:rPr>
          <w:b/>
        </w:rPr>
      </w:pPr>
      <w:r w:rsidRPr="00494B0D">
        <w:rPr>
          <w:b/>
        </w:rPr>
        <w:t>Business Rates Distribution Group</w:t>
      </w:r>
    </w:p>
    <w:p w14:paraId="4C12808E" w14:textId="697C7361" w:rsidR="00BF3158" w:rsidRPr="00494B0D" w:rsidRDefault="009410B2" w:rsidP="00942056">
      <w:pPr>
        <w:pStyle w:val="ReportNumbering"/>
        <w:numPr>
          <w:ilvl w:val="0"/>
          <w:numId w:val="0"/>
        </w:numPr>
        <w:ind w:left="567" w:hanging="567"/>
      </w:pPr>
      <w:r>
        <w:t>20</w:t>
      </w:r>
      <w:r w:rsidR="00BF3158" w:rsidRPr="00494B0D">
        <w:tab/>
        <w:t>The chief financ</w:t>
      </w:r>
      <w:r w:rsidR="00B8025B">
        <w:t>e</w:t>
      </w:r>
      <w:r w:rsidR="00BF3158" w:rsidRPr="00494B0D">
        <w:t xml:space="preserve"> officers of the Oxfordshire councils have agreed that the </w:t>
      </w:r>
      <w:r w:rsidR="00EC3248">
        <w:t xml:space="preserve">Pool’s </w:t>
      </w:r>
      <w:r w:rsidR="00BF3158" w:rsidRPr="00494B0D">
        <w:t xml:space="preserve">membership </w:t>
      </w:r>
      <w:r w:rsidR="00B8025B">
        <w:t xml:space="preserve">should </w:t>
      </w:r>
      <w:r w:rsidR="00BF3158" w:rsidRPr="00494B0D">
        <w:t>be set to maximise income for the good of Oxfordshire</w:t>
      </w:r>
      <w:r w:rsidR="00B8025B">
        <w:t xml:space="preserve"> as a whole</w:t>
      </w:r>
      <w:r w:rsidR="00BF3158" w:rsidRPr="00494B0D">
        <w:t xml:space="preserve">. They have also agreed that councils who would benefit from being in a pool (because the levy would be less on business rates growth than it would be if it was outside the pool) should not be excluded from sharing in the additional income generated by the </w:t>
      </w:r>
      <w:r w:rsidR="004A6C72">
        <w:t>Pool</w:t>
      </w:r>
      <w:r w:rsidR="00BF3158" w:rsidRPr="00494B0D">
        <w:t xml:space="preserve"> just because in any year their membership would not generate the optimum retained income for the </w:t>
      </w:r>
      <w:r w:rsidR="004A6C72">
        <w:t>Pool</w:t>
      </w:r>
      <w:r w:rsidR="00BF3158" w:rsidRPr="00494B0D">
        <w:t>.</w:t>
      </w:r>
      <w:r w:rsidR="004B29D7" w:rsidRPr="00494B0D">
        <w:t xml:space="preserve"> It should be noted that whilst authorities would share in the benefits they would also take on some of the risk of </w:t>
      </w:r>
      <w:r w:rsidR="0085567C">
        <w:t>Pool</w:t>
      </w:r>
      <w:r w:rsidR="004B29D7" w:rsidRPr="00494B0D">
        <w:t xml:space="preserve"> losses not covered by safety net.</w:t>
      </w:r>
    </w:p>
    <w:p w14:paraId="7CDAA1B9" w14:textId="21B808AB" w:rsidR="00FB2F6D" w:rsidRPr="00494B0D" w:rsidRDefault="009410B2" w:rsidP="00942056">
      <w:pPr>
        <w:pStyle w:val="ReportNumbering"/>
        <w:numPr>
          <w:ilvl w:val="0"/>
          <w:numId w:val="0"/>
        </w:numPr>
        <w:ind w:left="567" w:hanging="567"/>
      </w:pPr>
      <w:r>
        <w:t>21</w:t>
      </w:r>
      <w:r w:rsidR="00942056" w:rsidRPr="00494B0D">
        <w:tab/>
      </w:r>
      <w:r w:rsidR="004B29D7" w:rsidRPr="00494B0D">
        <w:t xml:space="preserve">Last year Oxford City Council opted to enter the Business Rates </w:t>
      </w:r>
      <w:r w:rsidR="00CF241E">
        <w:t>Distribution</w:t>
      </w:r>
      <w:r w:rsidR="004B29D7" w:rsidRPr="00494B0D">
        <w:t xml:space="preserve"> </w:t>
      </w:r>
      <w:r w:rsidR="00B8025B">
        <w:t>Group</w:t>
      </w:r>
      <w:r w:rsidR="0096255D">
        <w:t xml:space="preserve">. The current forecast is </w:t>
      </w:r>
      <w:r w:rsidR="00494B0D" w:rsidRPr="00494B0D">
        <w:t>an additional £350k of business rates income as a result</w:t>
      </w:r>
      <w:r w:rsidR="0096255D">
        <w:t xml:space="preserve"> of this decision</w:t>
      </w:r>
      <w:r w:rsidR="00494B0D" w:rsidRPr="00494B0D">
        <w:t>.</w:t>
      </w:r>
      <w:r w:rsidR="004B29D7" w:rsidRPr="00494B0D">
        <w:t xml:space="preserve"> </w:t>
      </w:r>
      <w:r w:rsidR="00494B0D" w:rsidRPr="00494B0D">
        <w:t>T</w:t>
      </w:r>
      <w:r w:rsidR="004B29D7" w:rsidRPr="00494B0D">
        <w:t xml:space="preserve">his position is </w:t>
      </w:r>
      <w:r w:rsidR="009106CA" w:rsidRPr="00494B0D">
        <w:t>reviewed</w:t>
      </w:r>
      <w:r w:rsidR="004B29D7" w:rsidRPr="00494B0D">
        <w:t xml:space="preserve"> annually and since the decision needs to be made </w:t>
      </w:r>
      <w:r w:rsidR="009106CA" w:rsidRPr="00494B0D">
        <w:t>relatively</w:t>
      </w:r>
      <w:r w:rsidR="004B29D7" w:rsidRPr="00494B0D">
        <w:t xml:space="preserve"> quickly</w:t>
      </w:r>
      <w:r w:rsidR="001E172C">
        <w:t xml:space="preserve"> once relevant information is available</w:t>
      </w:r>
      <w:r w:rsidR="0085567C">
        <w:t>,</w:t>
      </w:r>
      <w:r w:rsidR="004B29D7" w:rsidRPr="00494B0D">
        <w:t xml:space="preserve"> </w:t>
      </w:r>
      <w:r w:rsidR="00494B0D" w:rsidRPr="00494B0D">
        <w:t xml:space="preserve">as in previous years </w:t>
      </w:r>
      <w:r w:rsidR="0066349F" w:rsidRPr="00494B0D">
        <w:t xml:space="preserve">it is </w:t>
      </w:r>
      <w:r w:rsidR="009106CA" w:rsidRPr="00494B0D">
        <w:t>recommended</w:t>
      </w:r>
      <w:r w:rsidR="0066349F" w:rsidRPr="00494B0D">
        <w:t xml:space="preserve"> that this decision is delegated to the </w:t>
      </w:r>
      <w:r w:rsidR="00FB2F6D" w:rsidRPr="00494B0D">
        <w:t>Head of Financ</w:t>
      </w:r>
      <w:r w:rsidR="0066349F" w:rsidRPr="00494B0D">
        <w:t>ial Services,</w:t>
      </w:r>
      <w:r w:rsidR="00FB2F6D" w:rsidRPr="00494B0D">
        <w:t xml:space="preserve"> in consultation with the Board Member for </w:t>
      </w:r>
      <w:r w:rsidR="003E73C6" w:rsidRPr="00494B0D">
        <w:t>Finance and Assets.</w:t>
      </w:r>
    </w:p>
    <w:p w14:paraId="6A7B23C0" w14:textId="77777777" w:rsidR="00B16E72" w:rsidRPr="00F23542" w:rsidRDefault="00B16E72" w:rsidP="00942056">
      <w:pPr>
        <w:spacing w:after="120"/>
        <w:ind w:left="1440" w:right="386" w:hanging="873"/>
        <w:jc w:val="both"/>
        <w:rPr>
          <w:b/>
        </w:rPr>
      </w:pPr>
      <w:r w:rsidRPr="00F23542">
        <w:rPr>
          <w:b/>
        </w:rPr>
        <w:t>New Homes Bonus</w:t>
      </w:r>
      <w:r w:rsidR="00B8025B">
        <w:rPr>
          <w:b/>
        </w:rPr>
        <w:t xml:space="preserve"> (NHB)</w:t>
      </w:r>
    </w:p>
    <w:p w14:paraId="11176C2C" w14:textId="086E4F1E" w:rsidR="001005F5" w:rsidRPr="00F23542" w:rsidRDefault="009410B2" w:rsidP="00942056">
      <w:pPr>
        <w:spacing w:after="120"/>
        <w:ind w:left="567" w:right="386" w:hanging="567"/>
        <w:jc w:val="both"/>
      </w:pPr>
      <w:r>
        <w:t>22</w:t>
      </w:r>
      <w:r w:rsidR="007F7552" w:rsidRPr="00F23542">
        <w:tab/>
      </w:r>
      <w:r w:rsidR="00061569" w:rsidRPr="00F23542">
        <w:t>Th</w:t>
      </w:r>
      <w:r w:rsidR="00505BE0" w:rsidRPr="00F23542">
        <w:t>is</w:t>
      </w:r>
      <w:r w:rsidR="00061569" w:rsidRPr="00F23542">
        <w:t xml:space="preserve"> grant is </w:t>
      </w:r>
      <w:r w:rsidR="00357552" w:rsidRPr="00F23542">
        <w:t xml:space="preserve">currently </w:t>
      </w:r>
      <w:r w:rsidR="00061569" w:rsidRPr="00F23542">
        <w:t xml:space="preserve">given for a six year period based on new dwelling completions in year. </w:t>
      </w:r>
      <w:r w:rsidR="00F23542" w:rsidRPr="00F23542">
        <w:t xml:space="preserve">Last year the Government consulted on </w:t>
      </w:r>
      <w:r w:rsidR="00357552" w:rsidRPr="00F23542">
        <w:t xml:space="preserve">plans </w:t>
      </w:r>
      <w:r w:rsidR="00F23542" w:rsidRPr="00F23542">
        <w:t xml:space="preserve">to </w:t>
      </w:r>
      <w:r w:rsidR="00357552" w:rsidRPr="00F23542">
        <w:t>reduc</w:t>
      </w:r>
      <w:r w:rsidR="00F23542" w:rsidRPr="00F23542">
        <w:t>e</w:t>
      </w:r>
      <w:r w:rsidR="00357552" w:rsidRPr="00F23542">
        <w:t xml:space="preserve"> the payment down from 6 years to 4 years as well as </w:t>
      </w:r>
      <w:r w:rsidR="001005F5" w:rsidRPr="00F23542">
        <w:t>options for savings of at least £800 million which can be used for social care</w:t>
      </w:r>
      <w:r w:rsidR="000C0D51" w:rsidRPr="00F23542">
        <w:t>, and sharpening incentives for communities to support development</w:t>
      </w:r>
      <w:r w:rsidR="001005F5" w:rsidRPr="00F23542">
        <w:t>.</w:t>
      </w:r>
      <w:r w:rsidR="00F23542" w:rsidRPr="00F23542">
        <w:t xml:space="preserve"> </w:t>
      </w:r>
      <w:r w:rsidR="001005F5" w:rsidRPr="00F23542">
        <w:t xml:space="preserve"> </w:t>
      </w:r>
      <w:r w:rsidR="00F23542" w:rsidRPr="00F23542">
        <w:t>Table 4 gives an estimate of the amount of NHB due to the Council based on the Government</w:t>
      </w:r>
      <w:r w:rsidR="00783380">
        <w:t>’s</w:t>
      </w:r>
      <w:r w:rsidR="00F23542" w:rsidRPr="00F23542">
        <w:t xml:space="preserve"> proposal although to date the outcome of the consultation is unknown.</w:t>
      </w:r>
    </w:p>
    <w:p w14:paraId="4A9D8B48" w14:textId="77777777" w:rsidR="001005F5" w:rsidRPr="00F23542" w:rsidRDefault="001005F5" w:rsidP="00942056">
      <w:pPr>
        <w:spacing w:after="120"/>
        <w:ind w:left="567" w:right="386" w:hanging="567"/>
        <w:jc w:val="both"/>
      </w:pPr>
    </w:p>
    <w:p w14:paraId="18F524F2" w14:textId="77777777" w:rsidR="0002042E" w:rsidRDefault="009410B2" w:rsidP="00942056">
      <w:pPr>
        <w:spacing w:after="120"/>
        <w:ind w:left="567" w:right="386" w:hanging="567"/>
        <w:jc w:val="both"/>
      </w:pPr>
      <w:r>
        <w:t>23</w:t>
      </w:r>
      <w:r w:rsidR="001005F5" w:rsidRPr="00F23542">
        <w:tab/>
      </w:r>
      <w:r w:rsidR="00061569" w:rsidRPr="00F23542">
        <w:t xml:space="preserve">The Council </w:t>
      </w:r>
      <w:r w:rsidR="00854EDB" w:rsidRPr="00F23542">
        <w:t>uses</w:t>
      </w:r>
      <w:r w:rsidR="00061569" w:rsidRPr="00F23542">
        <w:t xml:space="preserve"> New Homes Bonus to fund </w:t>
      </w:r>
      <w:r w:rsidR="00B8025B">
        <w:t>its</w:t>
      </w:r>
      <w:r w:rsidR="00061569" w:rsidRPr="00F23542">
        <w:t xml:space="preserve"> Capital Programme in order to de-risk the Medium Term Financial Strategy. In the event that the grant is lower than estimated or ceases altogether then a mitigating action could be to reduce the </w:t>
      </w:r>
      <w:r w:rsidR="00A71FFE" w:rsidRPr="00F23542">
        <w:t>Capital</w:t>
      </w:r>
      <w:r w:rsidR="00391F91" w:rsidRPr="00F23542">
        <w:t xml:space="preserve"> Programme.</w:t>
      </w:r>
      <w:r w:rsidR="00F23542" w:rsidRPr="00F23542">
        <w:t xml:space="preserve"> </w:t>
      </w:r>
    </w:p>
    <w:p w14:paraId="69535003" w14:textId="77777777" w:rsidR="008B0313" w:rsidRDefault="008B0313" w:rsidP="00942056">
      <w:pPr>
        <w:spacing w:after="120"/>
        <w:ind w:left="567" w:right="386" w:hanging="567"/>
        <w:jc w:val="both"/>
      </w:pPr>
    </w:p>
    <w:tbl>
      <w:tblPr>
        <w:tblW w:w="8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470"/>
        <w:gridCol w:w="1470"/>
        <w:gridCol w:w="1470"/>
        <w:gridCol w:w="1470"/>
      </w:tblGrid>
      <w:tr w:rsidR="001F439F" w:rsidRPr="002C2483" w14:paraId="338B0B3F" w14:textId="77777777" w:rsidTr="00942056">
        <w:tc>
          <w:tcPr>
            <w:tcW w:w="8603" w:type="dxa"/>
            <w:gridSpan w:val="5"/>
            <w:shd w:val="clear" w:color="auto" w:fill="auto"/>
          </w:tcPr>
          <w:p w14:paraId="0F971EF3" w14:textId="77777777" w:rsidR="001F439F" w:rsidRPr="00B62F02" w:rsidRDefault="001F439F" w:rsidP="00DD0A73">
            <w:pPr>
              <w:spacing w:after="120"/>
              <w:ind w:right="386"/>
              <w:rPr>
                <w:b/>
              </w:rPr>
            </w:pPr>
            <w:r w:rsidRPr="00B62F02">
              <w:rPr>
                <w:b/>
              </w:rPr>
              <w:t xml:space="preserve">Table </w:t>
            </w:r>
            <w:r w:rsidR="00DD0A73" w:rsidRPr="00B62F02">
              <w:rPr>
                <w:b/>
              </w:rPr>
              <w:t>4 :</w:t>
            </w:r>
            <w:r w:rsidRPr="00B62F02">
              <w:rPr>
                <w:b/>
              </w:rPr>
              <w:t xml:space="preserve"> </w:t>
            </w:r>
            <w:r w:rsidR="00505BE0" w:rsidRPr="00B62F02">
              <w:rPr>
                <w:b/>
              </w:rPr>
              <w:t xml:space="preserve">Anticipated </w:t>
            </w:r>
            <w:r w:rsidRPr="00B62F02">
              <w:rPr>
                <w:b/>
              </w:rPr>
              <w:t>New Homes Bonus</w:t>
            </w:r>
          </w:p>
        </w:tc>
      </w:tr>
      <w:tr w:rsidR="00B62F02" w:rsidRPr="002C2483" w14:paraId="7E1F95BD" w14:textId="77777777" w:rsidTr="00942056">
        <w:tc>
          <w:tcPr>
            <w:tcW w:w="2723" w:type="dxa"/>
            <w:shd w:val="clear" w:color="auto" w:fill="auto"/>
          </w:tcPr>
          <w:p w14:paraId="783B47D9" w14:textId="77777777" w:rsidR="00B62F02" w:rsidRPr="00B62F02" w:rsidRDefault="00B62F02" w:rsidP="0096590F">
            <w:pPr>
              <w:spacing w:after="120"/>
              <w:ind w:right="386"/>
              <w:jc w:val="both"/>
            </w:pPr>
          </w:p>
        </w:tc>
        <w:tc>
          <w:tcPr>
            <w:tcW w:w="1470" w:type="dxa"/>
            <w:shd w:val="clear" w:color="auto" w:fill="EEECE1"/>
          </w:tcPr>
          <w:p w14:paraId="1540597A" w14:textId="77777777" w:rsidR="00B62F02" w:rsidRPr="00B62F02" w:rsidRDefault="00B62F02" w:rsidP="00186C0A">
            <w:pPr>
              <w:spacing w:after="120"/>
              <w:ind w:right="386"/>
              <w:jc w:val="center"/>
              <w:rPr>
                <w:b/>
              </w:rPr>
            </w:pPr>
            <w:r w:rsidRPr="00B62F02">
              <w:rPr>
                <w:b/>
              </w:rPr>
              <w:t>2017/18</w:t>
            </w:r>
          </w:p>
        </w:tc>
        <w:tc>
          <w:tcPr>
            <w:tcW w:w="1470" w:type="dxa"/>
            <w:shd w:val="clear" w:color="auto" w:fill="EEECE1"/>
          </w:tcPr>
          <w:p w14:paraId="60B56AB8" w14:textId="77777777" w:rsidR="00B62F02" w:rsidRPr="00B62F02" w:rsidRDefault="00B62F02" w:rsidP="00186C0A">
            <w:pPr>
              <w:spacing w:after="120"/>
              <w:ind w:right="386"/>
              <w:jc w:val="center"/>
              <w:rPr>
                <w:b/>
              </w:rPr>
            </w:pPr>
            <w:r w:rsidRPr="00B62F02">
              <w:rPr>
                <w:b/>
              </w:rPr>
              <w:t>2018/19</w:t>
            </w:r>
          </w:p>
        </w:tc>
        <w:tc>
          <w:tcPr>
            <w:tcW w:w="1470" w:type="dxa"/>
            <w:shd w:val="clear" w:color="auto" w:fill="EEECE1"/>
          </w:tcPr>
          <w:p w14:paraId="2ACC0709" w14:textId="77777777" w:rsidR="00B62F02" w:rsidRPr="00B62F02" w:rsidRDefault="00B62F02" w:rsidP="00186C0A">
            <w:pPr>
              <w:spacing w:after="120"/>
              <w:ind w:right="386"/>
              <w:jc w:val="center"/>
              <w:rPr>
                <w:b/>
              </w:rPr>
            </w:pPr>
            <w:r w:rsidRPr="00B62F02">
              <w:rPr>
                <w:b/>
              </w:rPr>
              <w:t>2019/20</w:t>
            </w:r>
          </w:p>
        </w:tc>
        <w:tc>
          <w:tcPr>
            <w:tcW w:w="1470" w:type="dxa"/>
            <w:shd w:val="clear" w:color="auto" w:fill="EEECE1"/>
          </w:tcPr>
          <w:p w14:paraId="7036B736" w14:textId="77777777" w:rsidR="00B62F02" w:rsidRPr="00B62F02" w:rsidRDefault="00B62F02" w:rsidP="00B62F02">
            <w:pPr>
              <w:spacing w:after="120"/>
              <w:ind w:right="386"/>
              <w:jc w:val="center"/>
              <w:rPr>
                <w:b/>
              </w:rPr>
            </w:pPr>
            <w:r w:rsidRPr="00B62F02">
              <w:rPr>
                <w:b/>
              </w:rPr>
              <w:t>2020/21</w:t>
            </w:r>
          </w:p>
        </w:tc>
      </w:tr>
      <w:tr w:rsidR="00B62F02" w:rsidRPr="002C2483" w14:paraId="1AE3A1F6" w14:textId="77777777" w:rsidTr="00942056">
        <w:tc>
          <w:tcPr>
            <w:tcW w:w="2723" w:type="dxa"/>
            <w:shd w:val="clear" w:color="auto" w:fill="auto"/>
          </w:tcPr>
          <w:p w14:paraId="1CC06F12" w14:textId="77777777" w:rsidR="00B62F02" w:rsidRPr="00B62F02" w:rsidRDefault="00B62F02" w:rsidP="0096590F">
            <w:pPr>
              <w:spacing w:after="120"/>
              <w:ind w:right="386"/>
              <w:jc w:val="both"/>
            </w:pPr>
          </w:p>
        </w:tc>
        <w:tc>
          <w:tcPr>
            <w:tcW w:w="1470" w:type="dxa"/>
            <w:shd w:val="clear" w:color="auto" w:fill="EEECE1"/>
          </w:tcPr>
          <w:p w14:paraId="1D71BF50" w14:textId="77777777" w:rsidR="00B62F02" w:rsidRPr="00B62F02" w:rsidRDefault="00B62F02" w:rsidP="00F463F3">
            <w:pPr>
              <w:jc w:val="center"/>
              <w:rPr>
                <w:b/>
              </w:rPr>
            </w:pPr>
            <w:r w:rsidRPr="00B62F02">
              <w:rPr>
                <w:b/>
              </w:rPr>
              <w:t>£000’s</w:t>
            </w:r>
          </w:p>
        </w:tc>
        <w:tc>
          <w:tcPr>
            <w:tcW w:w="1470" w:type="dxa"/>
            <w:shd w:val="clear" w:color="auto" w:fill="EEECE1"/>
          </w:tcPr>
          <w:p w14:paraId="2FC51543" w14:textId="77777777" w:rsidR="00B62F02" w:rsidRPr="00B62F02" w:rsidRDefault="00B62F02" w:rsidP="00F463F3">
            <w:pPr>
              <w:jc w:val="center"/>
              <w:rPr>
                <w:b/>
              </w:rPr>
            </w:pPr>
            <w:r w:rsidRPr="00B62F02">
              <w:rPr>
                <w:b/>
              </w:rPr>
              <w:t>£000’s</w:t>
            </w:r>
          </w:p>
        </w:tc>
        <w:tc>
          <w:tcPr>
            <w:tcW w:w="1470" w:type="dxa"/>
            <w:shd w:val="clear" w:color="auto" w:fill="EEECE1"/>
          </w:tcPr>
          <w:p w14:paraId="36CD83D5" w14:textId="77777777" w:rsidR="00B62F02" w:rsidRPr="00B62F02" w:rsidRDefault="00B62F02" w:rsidP="00F463F3">
            <w:pPr>
              <w:jc w:val="center"/>
              <w:rPr>
                <w:b/>
              </w:rPr>
            </w:pPr>
            <w:r w:rsidRPr="00B62F02">
              <w:rPr>
                <w:b/>
              </w:rPr>
              <w:t>£000’s</w:t>
            </w:r>
          </w:p>
        </w:tc>
        <w:tc>
          <w:tcPr>
            <w:tcW w:w="1470" w:type="dxa"/>
            <w:shd w:val="clear" w:color="auto" w:fill="EEECE1"/>
          </w:tcPr>
          <w:p w14:paraId="054749B7" w14:textId="77777777" w:rsidR="00B62F02" w:rsidRPr="00B62F02" w:rsidRDefault="00B62F02" w:rsidP="0096590F">
            <w:pPr>
              <w:jc w:val="center"/>
              <w:rPr>
                <w:b/>
              </w:rPr>
            </w:pPr>
            <w:r w:rsidRPr="00B62F02">
              <w:rPr>
                <w:b/>
              </w:rPr>
              <w:t>£000’s</w:t>
            </w:r>
          </w:p>
        </w:tc>
      </w:tr>
      <w:tr w:rsidR="00B62F02" w:rsidRPr="002C2483" w14:paraId="76202DFD" w14:textId="77777777" w:rsidTr="00942056">
        <w:tc>
          <w:tcPr>
            <w:tcW w:w="2723" w:type="dxa"/>
            <w:shd w:val="clear" w:color="auto" w:fill="auto"/>
          </w:tcPr>
          <w:p w14:paraId="29C921DA" w14:textId="77777777" w:rsidR="00B62F02" w:rsidRPr="00B62F02" w:rsidRDefault="00B62F02" w:rsidP="0096590F">
            <w:pPr>
              <w:spacing w:after="120"/>
              <w:ind w:right="386"/>
              <w:jc w:val="both"/>
            </w:pPr>
            <w:r w:rsidRPr="00B62F02">
              <w:t>New Homes Bonus</w:t>
            </w:r>
          </w:p>
        </w:tc>
        <w:tc>
          <w:tcPr>
            <w:tcW w:w="1470" w:type="dxa"/>
            <w:shd w:val="clear" w:color="auto" w:fill="auto"/>
          </w:tcPr>
          <w:p w14:paraId="2424669D" w14:textId="77777777" w:rsidR="00B62F02" w:rsidRPr="00B62F02" w:rsidRDefault="00B62F02" w:rsidP="00F463F3">
            <w:pPr>
              <w:spacing w:after="120"/>
              <w:jc w:val="right"/>
            </w:pPr>
            <w:r w:rsidRPr="00B62F02">
              <w:t>1,338</w:t>
            </w:r>
          </w:p>
        </w:tc>
        <w:tc>
          <w:tcPr>
            <w:tcW w:w="1470" w:type="dxa"/>
            <w:shd w:val="clear" w:color="auto" w:fill="auto"/>
          </w:tcPr>
          <w:p w14:paraId="23815447" w14:textId="77777777" w:rsidR="00B62F02" w:rsidRPr="00B62F02" w:rsidRDefault="00B62F02" w:rsidP="0096255D">
            <w:pPr>
              <w:spacing w:after="120"/>
              <w:ind w:right="-7"/>
              <w:jc w:val="right"/>
            </w:pPr>
            <w:r w:rsidRPr="00B62F02">
              <w:t>1,670</w:t>
            </w:r>
          </w:p>
        </w:tc>
        <w:tc>
          <w:tcPr>
            <w:tcW w:w="1470" w:type="dxa"/>
            <w:shd w:val="clear" w:color="auto" w:fill="auto"/>
          </w:tcPr>
          <w:p w14:paraId="338AE6F5" w14:textId="77777777" w:rsidR="00B62F02" w:rsidRPr="00B62F02" w:rsidRDefault="00B62F02" w:rsidP="0096255D">
            <w:pPr>
              <w:spacing w:after="120"/>
              <w:jc w:val="right"/>
            </w:pPr>
            <w:r w:rsidRPr="00B62F02">
              <w:t>1,783</w:t>
            </w:r>
          </w:p>
        </w:tc>
        <w:tc>
          <w:tcPr>
            <w:tcW w:w="1470" w:type="dxa"/>
            <w:shd w:val="clear" w:color="auto" w:fill="auto"/>
          </w:tcPr>
          <w:p w14:paraId="72CB2390" w14:textId="77777777" w:rsidR="00B62F02" w:rsidRPr="00B62F02" w:rsidRDefault="00B62F02" w:rsidP="005E4245">
            <w:pPr>
              <w:spacing w:after="120"/>
              <w:jc w:val="right"/>
            </w:pPr>
            <w:r w:rsidRPr="00B62F02">
              <w:t>1,834</w:t>
            </w:r>
          </w:p>
        </w:tc>
      </w:tr>
      <w:tr w:rsidR="00B62F02" w:rsidRPr="002C2483" w14:paraId="3F01058E" w14:textId="77777777" w:rsidTr="00942056">
        <w:tc>
          <w:tcPr>
            <w:tcW w:w="2723" w:type="dxa"/>
            <w:shd w:val="clear" w:color="auto" w:fill="auto"/>
          </w:tcPr>
          <w:p w14:paraId="4B914BA7" w14:textId="77777777" w:rsidR="00B62F02" w:rsidRPr="00B62F02" w:rsidRDefault="00B62F02" w:rsidP="0096590F">
            <w:pPr>
              <w:spacing w:after="120"/>
              <w:ind w:right="386"/>
              <w:jc w:val="both"/>
            </w:pPr>
            <w:r w:rsidRPr="00B62F02">
              <w:t>Percentage increase/(decrease)</w:t>
            </w:r>
          </w:p>
        </w:tc>
        <w:tc>
          <w:tcPr>
            <w:tcW w:w="1470" w:type="dxa"/>
            <w:shd w:val="clear" w:color="auto" w:fill="auto"/>
          </w:tcPr>
          <w:p w14:paraId="2010328B" w14:textId="77777777" w:rsidR="00B62F02" w:rsidRPr="00B62F02" w:rsidRDefault="00B62F02" w:rsidP="00F463F3">
            <w:pPr>
              <w:spacing w:after="120"/>
              <w:jc w:val="right"/>
            </w:pPr>
            <w:r w:rsidRPr="00B62F02">
              <w:t>(55)</w:t>
            </w:r>
          </w:p>
        </w:tc>
        <w:tc>
          <w:tcPr>
            <w:tcW w:w="1470" w:type="dxa"/>
            <w:shd w:val="clear" w:color="auto" w:fill="auto"/>
          </w:tcPr>
          <w:p w14:paraId="286FAF0D" w14:textId="77777777" w:rsidR="00B62F02" w:rsidRPr="00B62F02" w:rsidRDefault="00B62F02" w:rsidP="00F463F3">
            <w:pPr>
              <w:spacing w:after="120"/>
              <w:ind w:right="-7"/>
              <w:jc w:val="right"/>
            </w:pPr>
            <w:r w:rsidRPr="00B62F02">
              <w:t>25</w:t>
            </w:r>
          </w:p>
        </w:tc>
        <w:tc>
          <w:tcPr>
            <w:tcW w:w="1470" w:type="dxa"/>
            <w:shd w:val="clear" w:color="auto" w:fill="auto"/>
          </w:tcPr>
          <w:p w14:paraId="5F9B542C" w14:textId="77777777" w:rsidR="00B62F02" w:rsidRPr="00B62F02" w:rsidRDefault="00B62F02" w:rsidP="00F463F3">
            <w:pPr>
              <w:spacing w:after="120"/>
              <w:jc w:val="right"/>
            </w:pPr>
            <w:r w:rsidRPr="00B62F02">
              <w:t>7</w:t>
            </w:r>
          </w:p>
        </w:tc>
        <w:tc>
          <w:tcPr>
            <w:tcW w:w="1470" w:type="dxa"/>
            <w:shd w:val="clear" w:color="auto" w:fill="auto"/>
          </w:tcPr>
          <w:p w14:paraId="64F8FCA4" w14:textId="77777777" w:rsidR="00B62F02" w:rsidRPr="00B62F02" w:rsidRDefault="00B62F02" w:rsidP="005E4245">
            <w:pPr>
              <w:spacing w:after="120"/>
              <w:jc w:val="right"/>
            </w:pPr>
            <w:r w:rsidRPr="00B62F02">
              <w:t>3</w:t>
            </w:r>
          </w:p>
        </w:tc>
      </w:tr>
    </w:tbl>
    <w:p w14:paraId="253EFA98" w14:textId="77777777" w:rsidR="004064D4" w:rsidRDefault="004064D4" w:rsidP="00F74748">
      <w:pPr>
        <w:spacing w:after="120"/>
        <w:ind w:left="1440" w:right="386" w:hanging="720"/>
        <w:jc w:val="both"/>
        <w:rPr>
          <w:highlight w:val="yellow"/>
        </w:rPr>
      </w:pPr>
    </w:p>
    <w:p w14:paraId="5524E724" w14:textId="77777777" w:rsidR="009172F5" w:rsidRDefault="009172F5" w:rsidP="00F74748">
      <w:pPr>
        <w:spacing w:after="120"/>
        <w:ind w:left="1440" w:right="386" w:hanging="720"/>
        <w:jc w:val="both"/>
        <w:rPr>
          <w:highlight w:val="yellow"/>
        </w:rPr>
      </w:pPr>
    </w:p>
    <w:p w14:paraId="03C423B4" w14:textId="77777777" w:rsidR="009172F5" w:rsidRPr="002C2483" w:rsidRDefault="009172F5" w:rsidP="00F74748">
      <w:pPr>
        <w:spacing w:after="120"/>
        <w:ind w:left="1440" w:right="386" w:hanging="720"/>
        <w:jc w:val="both"/>
        <w:rPr>
          <w:highlight w:val="yellow"/>
        </w:rPr>
      </w:pPr>
    </w:p>
    <w:p w14:paraId="7C20632B" w14:textId="77777777" w:rsidR="008F77E0" w:rsidRPr="008F77E0" w:rsidRDefault="008F77E0" w:rsidP="008F77E0">
      <w:pPr>
        <w:spacing w:line="360" w:lineRule="auto"/>
        <w:ind w:right="386"/>
        <w:jc w:val="both"/>
        <w:rPr>
          <w:lang w:eastAsia="en-GB"/>
        </w:rPr>
      </w:pPr>
      <w:r w:rsidRPr="008F77E0">
        <w:rPr>
          <w:b/>
          <w:bCs/>
        </w:rPr>
        <w:lastRenderedPageBreak/>
        <w:t xml:space="preserve">         </w:t>
      </w:r>
      <w:r w:rsidR="00B8025B">
        <w:rPr>
          <w:b/>
          <w:bCs/>
        </w:rPr>
        <w:t xml:space="preserve">Changes to </w:t>
      </w:r>
      <w:r w:rsidRPr="008F77E0">
        <w:rPr>
          <w:b/>
          <w:bCs/>
        </w:rPr>
        <w:t xml:space="preserve">Welfare </w:t>
      </w:r>
      <w:r w:rsidR="00B8025B">
        <w:rPr>
          <w:b/>
          <w:bCs/>
        </w:rPr>
        <w:t>Benefits</w:t>
      </w:r>
    </w:p>
    <w:p w14:paraId="0189738B" w14:textId="4024A96C" w:rsidR="00B8025B" w:rsidRPr="008F77E0" w:rsidRDefault="009410B2" w:rsidP="00B8025B">
      <w:pPr>
        <w:ind w:left="567" w:hanging="567"/>
        <w:rPr>
          <w:color w:val="000000"/>
        </w:rPr>
      </w:pPr>
      <w:r>
        <w:rPr>
          <w:color w:val="000000"/>
        </w:rPr>
        <w:t>24</w:t>
      </w:r>
      <w:r w:rsidR="00F142A6">
        <w:rPr>
          <w:color w:val="000000"/>
        </w:rPr>
        <w:tab/>
      </w:r>
      <w:r w:rsidR="00B8025B">
        <w:rPr>
          <w:color w:val="000000"/>
        </w:rPr>
        <w:t>As of</w:t>
      </w:r>
      <w:r w:rsidR="00B8025B" w:rsidRPr="008F77E0">
        <w:rPr>
          <w:color w:val="000000"/>
        </w:rPr>
        <w:t xml:space="preserve"> 7</w:t>
      </w:r>
      <w:r w:rsidR="00B8025B">
        <w:rPr>
          <w:color w:val="000000"/>
        </w:rPr>
        <w:t>th</w:t>
      </w:r>
      <w:r w:rsidR="00B8025B" w:rsidRPr="008F77E0">
        <w:rPr>
          <w:color w:val="000000"/>
        </w:rPr>
        <w:t xml:space="preserve"> November 2016 the Benefit Cap </w:t>
      </w:r>
      <w:r w:rsidR="00B8025B">
        <w:rPr>
          <w:color w:val="000000"/>
        </w:rPr>
        <w:t xml:space="preserve">reduced </w:t>
      </w:r>
      <w:r w:rsidR="00B8025B" w:rsidRPr="008F77E0">
        <w:rPr>
          <w:color w:val="000000"/>
        </w:rPr>
        <w:t xml:space="preserve">from £26,000 to £20,000 </w:t>
      </w:r>
      <w:r w:rsidR="00B8025B">
        <w:rPr>
          <w:color w:val="000000"/>
        </w:rPr>
        <w:t>in Oxford</w:t>
      </w:r>
      <w:r w:rsidR="00B8025B" w:rsidRPr="008F77E0">
        <w:rPr>
          <w:color w:val="000000"/>
        </w:rPr>
        <w:t xml:space="preserve">. </w:t>
      </w:r>
      <w:r w:rsidR="00B8025B">
        <w:rPr>
          <w:color w:val="000000"/>
        </w:rPr>
        <w:t>It</w:t>
      </w:r>
      <w:r w:rsidR="00B8025B" w:rsidRPr="008F77E0">
        <w:rPr>
          <w:color w:val="000000"/>
        </w:rPr>
        <w:t xml:space="preserve"> is estimated 300-350 households in Oxford </w:t>
      </w:r>
      <w:r w:rsidR="00B8025B">
        <w:rPr>
          <w:color w:val="000000"/>
        </w:rPr>
        <w:t>will be affected and</w:t>
      </w:r>
      <w:r w:rsidR="00B8025B" w:rsidRPr="008F77E0">
        <w:rPr>
          <w:color w:val="000000"/>
        </w:rPr>
        <w:t xml:space="preserve"> over £1m </w:t>
      </w:r>
      <w:r w:rsidR="00B8025B">
        <w:rPr>
          <w:color w:val="000000"/>
        </w:rPr>
        <w:t>per annum will</w:t>
      </w:r>
      <w:r w:rsidR="00B8025B" w:rsidRPr="008F77E0">
        <w:rPr>
          <w:color w:val="000000"/>
        </w:rPr>
        <w:t xml:space="preserve"> be cut from the </w:t>
      </w:r>
      <w:r w:rsidR="00387298">
        <w:rPr>
          <w:color w:val="000000"/>
        </w:rPr>
        <w:t>Housing Benefit</w:t>
      </w:r>
      <w:r w:rsidR="00B8025B" w:rsidRPr="008F77E0">
        <w:rPr>
          <w:color w:val="000000"/>
        </w:rPr>
        <w:t xml:space="preserve"> of those affected. Council</w:t>
      </w:r>
      <w:r w:rsidR="00B8025B">
        <w:rPr>
          <w:color w:val="000000"/>
        </w:rPr>
        <w:t xml:space="preserve"> officers </w:t>
      </w:r>
      <w:r w:rsidR="00B8025B" w:rsidRPr="008F77E0">
        <w:rPr>
          <w:color w:val="000000"/>
        </w:rPr>
        <w:t>be</w:t>
      </w:r>
      <w:r w:rsidR="00B8025B">
        <w:rPr>
          <w:color w:val="000000"/>
        </w:rPr>
        <w:t>ga</w:t>
      </w:r>
      <w:r w:rsidR="00B8025B" w:rsidRPr="008F77E0">
        <w:rPr>
          <w:color w:val="000000"/>
        </w:rPr>
        <w:t>n engaging with people likely to be affected prior to it</w:t>
      </w:r>
      <w:r w:rsidR="00B8025B">
        <w:rPr>
          <w:color w:val="000000"/>
        </w:rPr>
        <w:t>s</w:t>
      </w:r>
      <w:r w:rsidR="00B8025B" w:rsidRPr="008F77E0">
        <w:rPr>
          <w:color w:val="000000"/>
        </w:rPr>
        <w:t xml:space="preserve"> implement</w:t>
      </w:r>
      <w:r w:rsidR="00B8025B">
        <w:rPr>
          <w:color w:val="000000"/>
        </w:rPr>
        <w:t>ation</w:t>
      </w:r>
      <w:r w:rsidR="00B8025B" w:rsidRPr="008F77E0">
        <w:rPr>
          <w:color w:val="000000"/>
        </w:rPr>
        <w:t xml:space="preserve"> and will be making use of the Council’s Discretionary Housing Payment </w:t>
      </w:r>
      <w:r w:rsidR="00B8025B">
        <w:rPr>
          <w:color w:val="000000"/>
        </w:rPr>
        <w:t xml:space="preserve">(DHP) </w:t>
      </w:r>
      <w:r w:rsidR="00B8025B" w:rsidRPr="008F77E0">
        <w:rPr>
          <w:color w:val="000000"/>
        </w:rPr>
        <w:t xml:space="preserve">grant to provide financial support whilst they are helped to find long term solutions. The Council’s DHP grant is likely to increase in 2017/18 as the national budget will increase from £150m to £185m, so there will be scope to provide temporary financial support to </w:t>
      </w:r>
      <w:r w:rsidR="001E172C">
        <w:rPr>
          <w:color w:val="000000"/>
        </w:rPr>
        <w:t xml:space="preserve">most of </w:t>
      </w:r>
      <w:r w:rsidR="00B8025B" w:rsidRPr="008F77E0">
        <w:rPr>
          <w:color w:val="000000"/>
        </w:rPr>
        <w:t>those who need it.</w:t>
      </w:r>
    </w:p>
    <w:p w14:paraId="112245FC" w14:textId="77777777" w:rsidR="00B8025B" w:rsidRPr="008F77E0" w:rsidRDefault="00B8025B" w:rsidP="00B8025B">
      <w:pPr>
        <w:ind w:left="567" w:hanging="567"/>
        <w:rPr>
          <w:color w:val="000000"/>
        </w:rPr>
      </w:pPr>
    </w:p>
    <w:p w14:paraId="6AE387A6" w14:textId="77777777" w:rsidR="00B8025B" w:rsidRDefault="00B8025B" w:rsidP="00B8025B">
      <w:pPr>
        <w:ind w:left="567" w:hanging="567"/>
        <w:rPr>
          <w:b/>
          <w:color w:val="000000"/>
        </w:rPr>
      </w:pPr>
      <w:r>
        <w:rPr>
          <w:color w:val="000000"/>
        </w:rPr>
        <w:tab/>
      </w:r>
      <w:r w:rsidRPr="00B10BBA">
        <w:rPr>
          <w:b/>
          <w:color w:val="000000"/>
        </w:rPr>
        <w:t>Universal Credit</w:t>
      </w:r>
    </w:p>
    <w:p w14:paraId="35D7CC00" w14:textId="77777777" w:rsidR="00B8025B" w:rsidRDefault="00496A88" w:rsidP="00B8025B">
      <w:pPr>
        <w:ind w:left="567" w:hanging="567"/>
        <w:rPr>
          <w:color w:val="000000"/>
        </w:rPr>
      </w:pPr>
      <w:r>
        <w:rPr>
          <w:color w:val="000000"/>
        </w:rPr>
        <w:t>25</w:t>
      </w:r>
      <w:r w:rsidR="00B8025B" w:rsidRPr="00F142A6">
        <w:rPr>
          <w:color w:val="000000"/>
        </w:rPr>
        <w:tab/>
      </w:r>
      <w:r w:rsidR="00B8025B">
        <w:rPr>
          <w:color w:val="000000"/>
        </w:rPr>
        <w:t>The Department for Work &amp; Pensions issued a timetable for the full role out of Universal Credit on the 16</w:t>
      </w:r>
      <w:r w:rsidR="00B8025B" w:rsidRPr="00756C06">
        <w:rPr>
          <w:color w:val="000000"/>
          <w:vertAlign w:val="superscript"/>
        </w:rPr>
        <w:t>th</w:t>
      </w:r>
      <w:r w:rsidR="00B8025B">
        <w:rPr>
          <w:color w:val="000000"/>
        </w:rPr>
        <w:t xml:space="preserve"> November. The end date has been given as September 2018 with Oxford going live in October 2017. There will be further announcements in early December on funding arrangements for Universal Credit delivery and Housing Benefit support. Currently the MTFP makes provision for changes arising from Universal Credit as shown below. Should the December announcements confirm a different position the assumptions will be updated in the February Budget report.</w:t>
      </w:r>
    </w:p>
    <w:p w14:paraId="32B9F265" w14:textId="77777777" w:rsidR="00A60F8C" w:rsidRDefault="00A60F8C" w:rsidP="00A03380">
      <w:pPr>
        <w:ind w:left="567" w:hanging="567"/>
        <w:rPr>
          <w:color w:val="000000"/>
        </w:rPr>
      </w:pPr>
    </w:p>
    <w:p w14:paraId="2294D0BA" w14:textId="77777777" w:rsidR="00A60F8C" w:rsidRDefault="00A60F8C" w:rsidP="00A03380">
      <w:pPr>
        <w:ind w:left="567" w:hanging="567"/>
        <w:rPr>
          <w:color w:val="000000"/>
        </w:rPr>
      </w:pPr>
      <w:r>
        <w:rPr>
          <w:color w:val="000000"/>
        </w:rPr>
        <w:tab/>
      </w:r>
    </w:p>
    <w:tbl>
      <w:tblPr>
        <w:tblW w:w="8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470"/>
        <w:gridCol w:w="1470"/>
        <w:gridCol w:w="1470"/>
        <w:gridCol w:w="1470"/>
      </w:tblGrid>
      <w:tr w:rsidR="00A60F8C" w:rsidRPr="00B62F02" w14:paraId="385D9779" w14:textId="77777777" w:rsidTr="001A0059">
        <w:tc>
          <w:tcPr>
            <w:tcW w:w="8603" w:type="dxa"/>
            <w:gridSpan w:val="5"/>
            <w:shd w:val="clear" w:color="auto" w:fill="auto"/>
          </w:tcPr>
          <w:p w14:paraId="421846B6" w14:textId="77777777" w:rsidR="00A60F8C" w:rsidRPr="00B62F02" w:rsidRDefault="0010427B" w:rsidP="00A60F8C">
            <w:pPr>
              <w:spacing w:after="120"/>
              <w:ind w:right="386"/>
              <w:rPr>
                <w:b/>
              </w:rPr>
            </w:pPr>
            <w:r w:rsidRPr="0010427B">
              <w:rPr>
                <w:b/>
              </w:rPr>
              <w:t>Table 5</w:t>
            </w:r>
            <w:r w:rsidR="00A60F8C" w:rsidRPr="0010427B">
              <w:rPr>
                <w:b/>
              </w:rPr>
              <w:t xml:space="preserve"> :</w:t>
            </w:r>
            <w:r w:rsidR="00A60F8C" w:rsidRPr="00B62F02">
              <w:rPr>
                <w:b/>
              </w:rPr>
              <w:t xml:space="preserve"> </w:t>
            </w:r>
            <w:r w:rsidR="00A60F8C">
              <w:rPr>
                <w:b/>
              </w:rPr>
              <w:t>Changes arising from Universal Credit Implementation</w:t>
            </w:r>
          </w:p>
        </w:tc>
      </w:tr>
      <w:tr w:rsidR="00A60F8C" w:rsidRPr="00B62F02" w14:paraId="3BE148CA" w14:textId="77777777" w:rsidTr="001A0059">
        <w:tc>
          <w:tcPr>
            <w:tcW w:w="2723" w:type="dxa"/>
            <w:shd w:val="clear" w:color="auto" w:fill="auto"/>
          </w:tcPr>
          <w:p w14:paraId="7988D140" w14:textId="77777777" w:rsidR="00A60F8C" w:rsidRPr="00B62F02" w:rsidRDefault="00A60F8C" w:rsidP="001A0059">
            <w:pPr>
              <w:spacing w:after="120"/>
              <w:ind w:right="386"/>
              <w:jc w:val="both"/>
            </w:pPr>
          </w:p>
        </w:tc>
        <w:tc>
          <w:tcPr>
            <w:tcW w:w="1470" w:type="dxa"/>
            <w:shd w:val="clear" w:color="auto" w:fill="EEECE1"/>
          </w:tcPr>
          <w:p w14:paraId="10D06B5B" w14:textId="77777777" w:rsidR="00A60F8C" w:rsidRPr="00B62F02" w:rsidRDefault="00A60F8C" w:rsidP="001A0059">
            <w:pPr>
              <w:spacing w:after="120"/>
              <w:ind w:right="386"/>
              <w:jc w:val="center"/>
              <w:rPr>
                <w:b/>
              </w:rPr>
            </w:pPr>
            <w:r w:rsidRPr="00B62F02">
              <w:rPr>
                <w:b/>
              </w:rPr>
              <w:t>2017/18</w:t>
            </w:r>
          </w:p>
        </w:tc>
        <w:tc>
          <w:tcPr>
            <w:tcW w:w="1470" w:type="dxa"/>
            <w:shd w:val="clear" w:color="auto" w:fill="EEECE1"/>
          </w:tcPr>
          <w:p w14:paraId="26B33323" w14:textId="77777777" w:rsidR="00A60F8C" w:rsidRPr="00B62F02" w:rsidRDefault="00A60F8C" w:rsidP="001A0059">
            <w:pPr>
              <w:spacing w:after="120"/>
              <w:ind w:right="386"/>
              <w:jc w:val="center"/>
              <w:rPr>
                <w:b/>
              </w:rPr>
            </w:pPr>
            <w:r w:rsidRPr="00B62F02">
              <w:rPr>
                <w:b/>
              </w:rPr>
              <w:t>2018/19</w:t>
            </w:r>
          </w:p>
        </w:tc>
        <w:tc>
          <w:tcPr>
            <w:tcW w:w="1470" w:type="dxa"/>
            <w:shd w:val="clear" w:color="auto" w:fill="EEECE1"/>
          </w:tcPr>
          <w:p w14:paraId="43BD9E94" w14:textId="77777777" w:rsidR="00A60F8C" w:rsidRPr="00B62F02" w:rsidRDefault="00A60F8C" w:rsidP="001A0059">
            <w:pPr>
              <w:spacing w:after="120"/>
              <w:ind w:right="386"/>
              <w:jc w:val="center"/>
              <w:rPr>
                <w:b/>
              </w:rPr>
            </w:pPr>
            <w:r w:rsidRPr="00B62F02">
              <w:rPr>
                <w:b/>
              </w:rPr>
              <w:t>2019/20</w:t>
            </w:r>
          </w:p>
        </w:tc>
        <w:tc>
          <w:tcPr>
            <w:tcW w:w="1470" w:type="dxa"/>
            <w:shd w:val="clear" w:color="auto" w:fill="EEECE1"/>
          </w:tcPr>
          <w:p w14:paraId="5C797DF0" w14:textId="77777777" w:rsidR="00A60F8C" w:rsidRPr="00B62F02" w:rsidRDefault="00A60F8C" w:rsidP="001A0059">
            <w:pPr>
              <w:spacing w:after="120"/>
              <w:ind w:right="386"/>
              <w:jc w:val="center"/>
              <w:rPr>
                <w:b/>
              </w:rPr>
            </w:pPr>
            <w:r w:rsidRPr="00B62F02">
              <w:rPr>
                <w:b/>
              </w:rPr>
              <w:t>2020/21</w:t>
            </w:r>
          </w:p>
        </w:tc>
      </w:tr>
      <w:tr w:rsidR="00A60F8C" w:rsidRPr="00B62F02" w14:paraId="62D8AB3F" w14:textId="77777777" w:rsidTr="001A0059">
        <w:tc>
          <w:tcPr>
            <w:tcW w:w="2723" w:type="dxa"/>
            <w:shd w:val="clear" w:color="auto" w:fill="auto"/>
          </w:tcPr>
          <w:p w14:paraId="4CB236BD" w14:textId="77777777" w:rsidR="00A60F8C" w:rsidRPr="00B62F02" w:rsidRDefault="00A60F8C" w:rsidP="001A0059">
            <w:pPr>
              <w:spacing w:after="120"/>
              <w:ind w:right="386"/>
              <w:jc w:val="both"/>
            </w:pPr>
          </w:p>
        </w:tc>
        <w:tc>
          <w:tcPr>
            <w:tcW w:w="1470" w:type="dxa"/>
            <w:shd w:val="clear" w:color="auto" w:fill="EEECE1"/>
          </w:tcPr>
          <w:p w14:paraId="6BEAC3D4" w14:textId="77777777" w:rsidR="00A60F8C" w:rsidRPr="00B62F02" w:rsidRDefault="00A60F8C" w:rsidP="001A0059">
            <w:pPr>
              <w:jc w:val="center"/>
              <w:rPr>
                <w:b/>
              </w:rPr>
            </w:pPr>
            <w:r w:rsidRPr="00B62F02">
              <w:rPr>
                <w:b/>
              </w:rPr>
              <w:t>£000’s</w:t>
            </w:r>
          </w:p>
        </w:tc>
        <w:tc>
          <w:tcPr>
            <w:tcW w:w="1470" w:type="dxa"/>
            <w:shd w:val="clear" w:color="auto" w:fill="EEECE1"/>
          </w:tcPr>
          <w:p w14:paraId="28678DAF" w14:textId="77777777" w:rsidR="00A60F8C" w:rsidRPr="00B62F02" w:rsidRDefault="00A60F8C" w:rsidP="001A0059">
            <w:pPr>
              <w:jc w:val="center"/>
              <w:rPr>
                <w:b/>
              </w:rPr>
            </w:pPr>
            <w:r w:rsidRPr="00B62F02">
              <w:rPr>
                <w:b/>
              </w:rPr>
              <w:t>£000’s</w:t>
            </w:r>
          </w:p>
        </w:tc>
        <w:tc>
          <w:tcPr>
            <w:tcW w:w="1470" w:type="dxa"/>
            <w:shd w:val="clear" w:color="auto" w:fill="EEECE1"/>
          </w:tcPr>
          <w:p w14:paraId="27B33B2E" w14:textId="77777777" w:rsidR="00A60F8C" w:rsidRPr="00B62F02" w:rsidRDefault="00A60F8C" w:rsidP="001A0059">
            <w:pPr>
              <w:jc w:val="center"/>
              <w:rPr>
                <w:b/>
              </w:rPr>
            </w:pPr>
            <w:r w:rsidRPr="00B62F02">
              <w:rPr>
                <w:b/>
              </w:rPr>
              <w:t>£000’s</w:t>
            </w:r>
          </w:p>
        </w:tc>
        <w:tc>
          <w:tcPr>
            <w:tcW w:w="1470" w:type="dxa"/>
            <w:shd w:val="clear" w:color="auto" w:fill="EEECE1"/>
          </w:tcPr>
          <w:p w14:paraId="21F22DED" w14:textId="77777777" w:rsidR="00A60F8C" w:rsidRPr="00B62F02" w:rsidRDefault="00A60F8C" w:rsidP="001A0059">
            <w:pPr>
              <w:jc w:val="center"/>
              <w:rPr>
                <w:b/>
              </w:rPr>
            </w:pPr>
            <w:r w:rsidRPr="00B62F02">
              <w:rPr>
                <w:b/>
              </w:rPr>
              <w:t>£000’s</w:t>
            </w:r>
          </w:p>
        </w:tc>
      </w:tr>
      <w:tr w:rsidR="00A60F8C" w:rsidRPr="00B62F02" w14:paraId="31AACD97" w14:textId="77777777" w:rsidTr="001A0059">
        <w:tc>
          <w:tcPr>
            <w:tcW w:w="2723" w:type="dxa"/>
            <w:shd w:val="clear" w:color="auto" w:fill="auto"/>
          </w:tcPr>
          <w:p w14:paraId="2D2E7B09" w14:textId="77777777" w:rsidR="00A60F8C" w:rsidRPr="00B62F02" w:rsidRDefault="00A60F8C" w:rsidP="001A0059">
            <w:pPr>
              <w:spacing w:after="120"/>
              <w:ind w:right="386"/>
              <w:jc w:val="both"/>
            </w:pPr>
            <w:r>
              <w:t>Financial Services staffing</w:t>
            </w:r>
          </w:p>
        </w:tc>
        <w:tc>
          <w:tcPr>
            <w:tcW w:w="1470" w:type="dxa"/>
            <w:shd w:val="clear" w:color="auto" w:fill="auto"/>
          </w:tcPr>
          <w:p w14:paraId="6B32D85E" w14:textId="77777777" w:rsidR="00A60F8C" w:rsidRPr="00B62F02" w:rsidRDefault="00D3287B" w:rsidP="001A0059">
            <w:pPr>
              <w:spacing w:after="120"/>
              <w:jc w:val="right"/>
            </w:pPr>
            <w:r>
              <w:t>-</w:t>
            </w:r>
          </w:p>
        </w:tc>
        <w:tc>
          <w:tcPr>
            <w:tcW w:w="1470" w:type="dxa"/>
            <w:shd w:val="clear" w:color="auto" w:fill="auto"/>
          </w:tcPr>
          <w:p w14:paraId="18A36EA9" w14:textId="77777777" w:rsidR="00A60F8C" w:rsidRPr="00B62F02" w:rsidRDefault="00A60F8C" w:rsidP="001A0059">
            <w:pPr>
              <w:spacing w:after="120"/>
              <w:ind w:right="-7"/>
              <w:jc w:val="right"/>
            </w:pPr>
            <w:r>
              <w:t>(65)</w:t>
            </w:r>
          </w:p>
        </w:tc>
        <w:tc>
          <w:tcPr>
            <w:tcW w:w="1470" w:type="dxa"/>
            <w:shd w:val="clear" w:color="auto" w:fill="auto"/>
          </w:tcPr>
          <w:p w14:paraId="50D8FB12" w14:textId="77777777" w:rsidR="00A60F8C" w:rsidRPr="00B62F02" w:rsidRDefault="00A60F8C" w:rsidP="001A0059">
            <w:pPr>
              <w:spacing w:after="120"/>
              <w:jc w:val="right"/>
            </w:pPr>
            <w:r>
              <w:t>(130)</w:t>
            </w:r>
          </w:p>
        </w:tc>
        <w:tc>
          <w:tcPr>
            <w:tcW w:w="1470" w:type="dxa"/>
            <w:shd w:val="clear" w:color="auto" w:fill="auto"/>
          </w:tcPr>
          <w:p w14:paraId="2F24CBCA" w14:textId="77777777" w:rsidR="00A60F8C" w:rsidRPr="00B62F02" w:rsidRDefault="00A60F8C" w:rsidP="001A0059">
            <w:pPr>
              <w:spacing w:after="120"/>
              <w:jc w:val="right"/>
            </w:pPr>
            <w:r>
              <w:t>(130)</w:t>
            </w:r>
          </w:p>
        </w:tc>
      </w:tr>
      <w:tr w:rsidR="00A60F8C" w:rsidRPr="00B62F02" w14:paraId="65C4B2CB" w14:textId="77777777" w:rsidTr="001A0059">
        <w:tc>
          <w:tcPr>
            <w:tcW w:w="2723" w:type="dxa"/>
            <w:shd w:val="clear" w:color="auto" w:fill="auto"/>
          </w:tcPr>
          <w:p w14:paraId="009DDF18" w14:textId="77777777" w:rsidR="00A60F8C" w:rsidRPr="00B62F02" w:rsidRDefault="00A60F8C" w:rsidP="001A0059">
            <w:pPr>
              <w:spacing w:after="120"/>
              <w:ind w:right="386"/>
              <w:jc w:val="both"/>
            </w:pPr>
            <w:r>
              <w:t>Customer Services staffing</w:t>
            </w:r>
          </w:p>
        </w:tc>
        <w:tc>
          <w:tcPr>
            <w:tcW w:w="1470" w:type="dxa"/>
            <w:shd w:val="clear" w:color="auto" w:fill="auto"/>
          </w:tcPr>
          <w:p w14:paraId="438448E7" w14:textId="77777777" w:rsidR="00A60F8C" w:rsidRPr="00B62F02" w:rsidRDefault="00D3287B" w:rsidP="001A0059">
            <w:pPr>
              <w:spacing w:after="120"/>
              <w:jc w:val="right"/>
            </w:pPr>
            <w:r>
              <w:t>-</w:t>
            </w:r>
          </w:p>
        </w:tc>
        <w:tc>
          <w:tcPr>
            <w:tcW w:w="1470" w:type="dxa"/>
            <w:shd w:val="clear" w:color="auto" w:fill="auto"/>
          </w:tcPr>
          <w:p w14:paraId="44ED8DB3" w14:textId="77777777" w:rsidR="00A60F8C" w:rsidRPr="00B62F02" w:rsidRDefault="00A60F8C" w:rsidP="001A0059">
            <w:pPr>
              <w:spacing w:after="120"/>
              <w:ind w:right="-7"/>
              <w:jc w:val="right"/>
            </w:pPr>
            <w:r>
              <w:t>(55)</w:t>
            </w:r>
          </w:p>
        </w:tc>
        <w:tc>
          <w:tcPr>
            <w:tcW w:w="1470" w:type="dxa"/>
            <w:shd w:val="clear" w:color="auto" w:fill="auto"/>
          </w:tcPr>
          <w:p w14:paraId="6861F1C7" w14:textId="77777777" w:rsidR="00A60F8C" w:rsidRPr="00B62F02" w:rsidRDefault="00A60F8C" w:rsidP="001A0059">
            <w:pPr>
              <w:spacing w:after="120"/>
              <w:jc w:val="right"/>
            </w:pPr>
            <w:r>
              <w:t>(110)</w:t>
            </w:r>
          </w:p>
        </w:tc>
        <w:tc>
          <w:tcPr>
            <w:tcW w:w="1470" w:type="dxa"/>
            <w:shd w:val="clear" w:color="auto" w:fill="auto"/>
          </w:tcPr>
          <w:p w14:paraId="108552C3" w14:textId="77777777" w:rsidR="00A60F8C" w:rsidRPr="00B62F02" w:rsidRDefault="00A60F8C" w:rsidP="001A0059">
            <w:pPr>
              <w:spacing w:after="120"/>
              <w:jc w:val="right"/>
            </w:pPr>
            <w:r>
              <w:t>(110)</w:t>
            </w:r>
          </w:p>
        </w:tc>
      </w:tr>
      <w:tr w:rsidR="00A60F8C" w:rsidRPr="00B62F02" w14:paraId="1B705EE6" w14:textId="77777777" w:rsidTr="001A0059">
        <w:tc>
          <w:tcPr>
            <w:tcW w:w="2723" w:type="dxa"/>
            <w:shd w:val="clear" w:color="auto" w:fill="auto"/>
          </w:tcPr>
          <w:p w14:paraId="460BF92D" w14:textId="77777777" w:rsidR="00A60F8C" w:rsidRDefault="00A60F8C" w:rsidP="00315719">
            <w:pPr>
              <w:spacing w:after="120"/>
              <w:ind w:right="386"/>
              <w:jc w:val="both"/>
            </w:pPr>
            <w:r w:rsidRPr="00315719">
              <w:t>Changes in admin grant (current £</w:t>
            </w:r>
            <w:r w:rsidR="00315719" w:rsidRPr="00315719">
              <w:t>743k</w:t>
            </w:r>
            <w:r w:rsidRPr="00315719">
              <w:t>)</w:t>
            </w:r>
          </w:p>
        </w:tc>
        <w:tc>
          <w:tcPr>
            <w:tcW w:w="1470" w:type="dxa"/>
            <w:shd w:val="clear" w:color="auto" w:fill="auto"/>
          </w:tcPr>
          <w:p w14:paraId="54630E9C" w14:textId="77777777" w:rsidR="00A60F8C" w:rsidRPr="00B62F02" w:rsidRDefault="00A60F8C" w:rsidP="001A0059">
            <w:pPr>
              <w:spacing w:after="120"/>
              <w:jc w:val="right"/>
            </w:pPr>
            <w:r>
              <w:t>58</w:t>
            </w:r>
          </w:p>
        </w:tc>
        <w:tc>
          <w:tcPr>
            <w:tcW w:w="1470" w:type="dxa"/>
            <w:shd w:val="clear" w:color="auto" w:fill="auto"/>
          </w:tcPr>
          <w:p w14:paraId="773459A6" w14:textId="77777777" w:rsidR="00A60F8C" w:rsidRPr="00B62F02" w:rsidRDefault="00A60F8C" w:rsidP="001A0059">
            <w:pPr>
              <w:spacing w:after="120"/>
              <w:ind w:right="-7"/>
              <w:jc w:val="right"/>
            </w:pPr>
            <w:r>
              <w:t>281</w:t>
            </w:r>
          </w:p>
        </w:tc>
        <w:tc>
          <w:tcPr>
            <w:tcW w:w="1470" w:type="dxa"/>
            <w:shd w:val="clear" w:color="auto" w:fill="auto"/>
          </w:tcPr>
          <w:p w14:paraId="2E60337C" w14:textId="77777777" w:rsidR="00A60F8C" w:rsidRPr="00B62F02" w:rsidRDefault="00A60F8C" w:rsidP="001A0059">
            <w:pPr>
              <w:spacing w:after="120"/>
              <w:jc w:val="right"/>
            </w:pPr>
            <w:r>
              <w:t>370</w:t>
            </w:r>
          </w:p>
        </w:tc>
        <w:tc>
          <w:tcPr>
            <w:tcW w:w="1470" w:type="dxa"/>
            <w:shd w:val="clear" w:color="auto" w:fill="auto"/>
          </w:tcPr>
          <w:p w14:paraId="3BA3F164" w14:textId="77777777" w:rsidR="00A60F8C" w:rsidRPr="00B62F02" w:rsidRDefault="00A60F8C" w:rsidP="001A0059">
            <w:pPr>
              <w:spacing w:after="120"/>
              <w:jc w:val="right"/>
            </w:pPr>
            <w:r>
              <w:t>411</w:t>
            </w:r>
          </w:p>
        </w:tc>
      </w:tr>
      <w:tr w:rsidR="00A60F8C" w:rsidRPr="00B62F02" w14:paraId="0C17DEA5" w14:textId="77777777" w:rsidTr="001A0059">
        <w:tc>
          <w:tcPr>
            <w:tcW w:w="2723" w:type="dxa"/>
            <w:shd w:val="clear" w:color="auto" w:fill="auto"/>
          </w:tcPr>
          <w:p w14:paraId="40F561AA" w14:textId="77777777" w:rsidR="00A60F8C" w:rsidRPr="00A60F8C" w:rsidRDefault="00A60F8C" w:rsidP="001A0059">
            <w:pPr>
              <w:spacing w:after="120"/>
              <w:ind w:right="386"/>
              <w:jc w:val="both"/>
              <w:rPr>
                <w:b/>
              </w:rPr>
            </w:pPr>
            <w:r w:rsidRPr="00A60F8C">
              <w:rPr>
                <w:b/>
              </w:rPr>
              <w:t>Total</w:t>
            </w:r>
          </w:p>
        </w:tc>
        <w:tc>
          <w:tcPr>
            <w:tcW w:w="1470" w:type="dxa"/>
            <w:shd w:val="clear" w:color="auto" w:fill="auto"/>
          </w:tcPr>
          <w:p w14:paraId="20B094DF" w14:textId="77777777" w:rsidR="00A60F8C" w:rsidRPr="00A60F8C" w:rsidRDefault="00A60F8C" w:rsidP="001A0059">
            <w:pPr>
              <w:spacing w:after="120"/>
              <w:jc w:val="right"/>
              <w:rPr>
                <w:b/>
              </w:rPr>
            </w:pPr>
            <w:r w:rsidRPr="00A60F8C">
              <w:rPr>
                <w:b/>
              </w:rPr>
              <w:t>58</w:t>
            </w:r>
          </w:p>
        </w:tc>
        <w:tc>
          <w:tcPr>
            <w:tcW w:w="1470" w:type="dxa"/>
            <w:shd w:val="clear" w:color="auto" w:fill="auto"/>
          </w:tcPr>
          <w:p w14:paraId="314BE7E2" w14:textId="77777777" w:rsidR="00A60F8C" w:rsidRPr="00A60F8C" w:rsidRDefault="00A60F8C" w:rsidP="001A0059">
            <w:pPr>
              <w:spacing w:after="120"/>
              <w:ind w:right="-7"/>
              <w:jc w:val="right"/>
              <w:rPr>
                <w:b/>
              </w:rPr>
            </w:pPr>
            <w:r w:rsidRPr="00A60F8C">
              <w:rPr>
                <w:b/>
              </w:rPr>
              <w:t>(161)</w:t>
            </w:r>
          </w:p>
        </w:tc>
        <w:tc>
          <w:tcPr>
            <w:tcW w:w="1470" w:type="dxa"/>
            <w:shd w:val="clear" w:color="auto" w:fill="auto"/>
          </w:tcPr>
          <w:p w14:paraId="480B9DC5" w14:textId="77777777" w:rsidR="00A60F8C" w:rsidRPr="00A60F8C" w:rsidRDefault="00A60F8C" w:rsidP="001A0059">
            <w:pPr>
              <w:spacing w:after="120"/>
              <w:jc w:val="right"/>
              <w:rPr>
                <w:b/>
              </w:rPr>
            </w:pPr>
            <w:r w:rsidRPr="00A60F8C">
              <w:rPr>
                <w:b/>
              </w:rPr>
              <w:t>130</w:t>
            </w:r>
          </w:p>
        </w:tc>
        <w:tc>
          <w:tcPr>
            <w:tcW w:w="1470" w:type="dxa"/>
            <w:shd w:val="clear" w:color="auto" w:fill="auto"/>
          </w:tcPr>
          <w:p w14:paraId="00B07226" w14:textId="77777777" w:rsidR="00A60F8C" w:rsidRPr="00A60F8C" w:rsidRDefault="00A60F8C" w:rsidP="001A0059">
            <w:pPr>
              <w:spacing w:after="120"/>
              <w:jc w:val="right"/>
              <w:rPr>
                <w:b/>
              </w:rPr>
            </w:pPr>
            <w:r w:rsidRPr="00A60F8C">
              <w:rPr>
                <w:b/>
              </w:rPr>
              <w:t>171</w:t>
            </w:r>
          </w:p>
        </w:tc>
      </w:tr>
    </w:tbl>
    <w:p w14:paraId="0AC51452" w14:textId="77777777" w:rsidR="00A60F8C" w:rsidRDefault="00A60F8C" w:rsidP="00A03380">
      <w:pPr>
        <w:ind w:left="567" w:hanging="567"/>
        <w:rPr>
          <w:color w:val="000000"/>
        </w:rPr>
      </w:pPr>
    </w:p>
    <w:p w14:paraId="45A94B7E" w14:textId="77777777" w:rsidR="00D3287B" w:rsidRPr="00686851" w:rsidRDefault="00D3287B" w:rsidP="00D3287B">
      <w:pPr>
        <w:tabs>
          <w:tab w:val="num" w:pos="1440"/>
        </w:tabs>
        <w:spacing w:after="120"/>
        <w:ind w:left="1440" w:right="386" w:hanging="873"/>
        <w:jc w:val="both"/>
        <w:rPr>
          <w:b/>
        </w:rPr>
      </w:pPr>
      <w:r w:rsidRPr="00686851">
        <w:rPr>
          <w:b/>
        </w:rPr>
        <w:t>Council Tax Support</w:t>
      </w:r>
    </w:p>
    <w:p w14:paraId="0AC1FDBA" w14:textId="7F0B7627" w:rsidR="00D3287B" w:rsidRDefault="009410B2" w:rsidP="00D3287B">
      <w:pPr>
        <w:ind w:left="567" w:hanging="567"/>
        <w:rPr>
          <w:color w:val="000000"/>
        </w:rPr>
      </w:pPr>
      <w:r>
        <w:t>26</w:t>
      </w:r>
      <w:r w:rsidR="00D3287B" w:rsidRPr="00686851">
        <w:tab/>
      </w:r>
      <w:r w:rsidR="00D3287B" w:rsidRPr="00686851">
        <w:rPr>
          <w:color w:val="000000"/>
        </w:rPr>
        <w:t xml:space="preserve">At the City Executive Board on 13th October 2016 members resolved to agree the existing Council Tax Reduction Scheme on the same basis as that introduced on 1st April 2013. This, in essence, continues the previous level of entitlement provided by Council Tax Benefit, and has not passed on the reduction in government funding for council tax relief to those on the lowest incomes in the city. It is estimated the scheme will cost the Council £970k in 2016/17 </w:t>
      </w:r>
      <w:r w:rsidR="00B8025B">
        <w:rPr>
          <w:color w:val="000000"/>
        </w:rPr>
        <w:t>rising to £1</w:t>
      </w:r>
      <w:r w:rsidR="00D3287B" w:rsidRPr="00686851">
        <w:rPr>
          <w:color w:val="000000"/>
        </w:rPr>
        <w:t>.6</w:t>
      </w:r>
      <w:r w:rsidR="00DC19C5">
        <w:rPr>
          <w:color w:val="000000"/>
        </w:rPr>
        <w:t xml:space="preserve"> mil</w:t>
      </w:r>
      <w:r w:rsidR="00D3287B" w:rsidRPr="00686851">
        <w:rPr>
          <w:color w:val="000000"/>
        </w:rPr>
        <w:t>lion when Revenue Support Grant is reduced to zero with effect from 1/4/2019.</w:t>
      </w:r>
    </w:p>
    <w:p w14:paraId="4F2F7560" w14:textId="77777777" w:rsidR="00D3287B" w:rsidRDefault="00D3287B" w:rsidP="00A03380">
      <w:pPr>
        <w:ind w:left="567" w:hanging="567"/>
        <w:rPr>
          <w:color w:val="000000"/>
        </w:rPr>
      </w:pPr>
    </w:p>
    <w:p w14:paraId="169A58C8" w14:textId="77777777" w:rsidR="009172F5" w:rsidRDefault="009172F5" w:rsidP="00A03380">
      <w:pPr>
        <w:ind w:left="567" w:hanging="567"/>
        <w:rPr>
          <w:color w:val="000000"/>
        </w:rPr>
      </w:pPr>
    </w:p>
    <w:p w14:paraId="3A4CA076" w14:textId="28B4A45D" w:rsidR="009172F5" w:rsidRDefault="009172F5">
      <w:pPr>
        <w:rPr>
          <w:color w:val="000000"/>
        </w:rPr>
      </w:pPr>
      <w:r>
        <w:rPr>
          <w:color w:val="000000"/>
        </w:rPr>
        <w:br w:type="page"/>
      </w:r>
    </w:p>
    <w:p w14:paraId="351240ED" w14:textId="77777777" w:rsidR="009172F5" w:rsidRDefault="009172F5" w:rsidP="00A03380">
      <w:pPr>
        <w:ind w:left="567" w:hanging="567"/>
        <w:rPr>
          <w:color w:val="000000"/>
        </w:rPr>
      </w:pPr>
    </w:p>
    <w:p w14:paraId="6AB6D58A" w14:textId="77777777" w:rsidR="00611535" w:rsidRPr="008F77E0" w:rsidRDefault="000B3A12" w:rsidP="00611535">
      <w:pPr>
        <w:tabs>
          <w:tab w:val="num" w:pos="1440"/>
        </w:tabs>
        <w:spacing w:after="120"/>
        <w:ind w:left="567" w:right="386" w:hanging="720"/>
        <w:jc w:val="both"/>
        <w:rPr>
          <w:b/>
          <w:sz w:val="28"/>
          <w:szCs w:val="28"/>
        </w:rPr>
      </w:pPr>
      <w:r w:rsidRPr="008F77E0">
        <w:tab/>
      </w:r>
      <w:r w:rsidR="00611535" w:rsidRPr="008F77E0">
        <w:rPr>
          <w:b/>
          <w:sz w:val="28"/>
          <w:szCs w:val="28"/>
        </w:rPr>
        <w:t>Section B General Fund Revenue Budget</w:t>
      </w:r>
    </w:p>
    <w:p w14:paraId="032AFE08" w14:textId="5007C8B1" w:rsidR="00611535" w:rsidRPr="008F77E0" w:rsidRDefault="009410B2" w:rsidP="00996741">
      <w:pPr>
        <w:tabs>
          <w:tab w:val="num" w:pos="1440"/>
        </w:tabs>
        <w:spacing w:after="120"/>
        <w:ind w:left="567" w:right="386" w:hanging="567"/>
        <w:jc w:val="both"/>
        <w:rPr>
          <w:color w:val="000000"/>
        </w:rPr>
      </w:pPr>
      <w:r>
        <w:rPr>
          <w:color w:val="000000"/>
        </w:rPr>
        <w:t>27</w:t>
      </w:r>
      <w:r w:rsidR="00636F13" w:rsidRPr="008F77E0">
        <w:rPr>
          <w:color w:val="000000"/>
        </w:rPr>
        <w:tab/>
      </w:r>
      <w:r w:rsidR="00611535" w:rsidRPr="008F77E0">
        <w:rPr>
          <w:color w:val="000000"/>
        </w:rPr>
        <w:t>In February 201</w:t>
      </w:r>
      <w:r w:rsidR="009B2AD5" w:rsidRPr="008F77E0">
        <w:rPr>
          <w:color w:val="000000"/>
        </w:rPr>
        <w:t>6</w:t>
      </w:r>
      <w:r w:rsidR="00611535" w:rsidRPr="008F77E0">
        <w:rPr>
          <w:color w:val="000000"/>
        </w:rPr>
        <w:t xml:space="preserve"> Council agreed a balanced budget for the four years of </w:t>
      </w:r>
      <w:r w:rsidR="007F41B1">
        <w:rPr>
          <w:color w:val="000000"/>
        </w:rPr>
        <w:t xml:space="preserve">the </w:t>
      </w:r>
      <w:r w:rsidR="007F41B1" w:rsidRPr="008F77E0">
        <w:rPr>
          <w:color w:val="000000"/>
        </w:rPr>
        <w:t>Medium</w:t>
      </w:r>
      <w:r w:rsidR="00611535" w:rsidRPr="008F77E0">
        <w:rPr>
          <w:color w:val="000000"/>
        </w:rPr>
        <w:t xml:space="preserve"> Term Financial Plan 201</w:t>
      </w:r>
      <w:r w:rsidR="009B2AD5" w:rsidRPr="008F77E0">
        <w:rPr>
          <w:color w:val="000000"/>
        </w:rPr>
        <w:t>6</w:t>
      </w:r>
      <w:r w:rsidR="00611535" w:rsidRPr="008F77E0">
        <w:rPr>
          <w:color w:val="000000"/>
        </w:rPr>
        <w:t>/1</w:t>
      </w:r>
      <w:r w:rsidR="009B2AD5" w:rsidRPr="008F77E0">
        <w:rPr>
          <w:color w:val="000000"/>
        </w:rPr>
        <w:t>7</w:t>
      </w:r>
      <w:r w:rsidR="00611535" w:rsidRPr="008F77E0">
        <w:rPr>
          <w:color w:val="000000"/>
        </w:rPr>
        <w:t xml:space="preserve"> to 201</w:t>
      </w:r>
      <w:r w:rsidR="009B2AD5" w:rsidRPr="008F77E0">
        <w:rPr>
          <w:color w:val="000000"/>
        </w:rPr>
        <w:t>9</w:t>
      </w:r>
      <w:r w:rsidR="00611535" w:rsidRPr="008F77E0">
        <w:rPr>
          <w:color w:val="000000"/>
        </w:rPr>
        <w:t>/</w:t>
      </w:r>
      <w:r w:rsidR="009B2AD5" w:rsidRPr="008F77E0">
        <w:rPr>
          <w:color w:val="000000"/>
        </w:rPr>
        <w:t>20</w:t>
      </w:r>
      <w:r w:rsidR="00611535" w:rsidRPr="008F77E0">
        <w:rPr>
          <w:color w:val="000000"/>
        </w:rPr>
        <w:t>. The</w:t>
      </w:r>
      <w:r w:rsidR="009B2AD5" w:rsidRPr="008F77E0">
        <w:rPr>
          <w:color w:val="000000"/>
        </w:rPr>
        <w:t xml:space="preserve"> </w:t>
      </w:r>
      <w:r w:rsidR="00E611DB">
        <w:rPr>
          <w:color w:val="000000"/>
        </w:rPr>
        <w:t>Plan</w:t>
      </w:r>
      <w:r w:rsidR="006D7D90">
        <w:rPr>
          <w:color w:val="000000"/>
        </w:rPr>
        <w:t xml:space="preserve"> </w:t>
      </w:r>
      <w:proofErr w:type="gramStart"/>
      <w:r w:rsidR="006D7D90">
        <w:rPr>
          <w:color w:val="000000"/>
        </w:rPr>
        <w:t xml:space="preserve">including </w:t>
      </w:r>
      <w:r w:rsidR="009B2AD5" w:rsidRPr="008F77E0">
        <w:rPr>
          <w:color w:val="000000"/>
        </w:rPr>
        <w:t xml:space="preserve"> all</w:t>
      </w:r>
      <w:proofErr w:type="gramEnd"/>
      <w:r w:rsidR="009B2AD5" w:rsidRPr="008F77E0">
        <w:rPr>
          <w:color w:val="000000"/>
        </w:rPr>
        <w:t xml:space="preserve"> income and expenditure and planning assumptions</w:t>
      </w:r>
      <w:r w:rsidR="00CF6A02">
        <w:rPr>
          <w:color w:val="000000"/>
        </w:rPr>
        <w:t xml:space="preserve"> have been reviewed</w:t>
      </w:r>
      <w:r w:rsidR="0010427B">
        <w:rPr>
          <w:color w:val="000000"/>
        </w:rPr>
        <w:t xml:space="preserve"> </w:t>
      </w:r>
    </w:p>
    <w:p w14:paraId="236025CA" w14:textId="77777777" w:rsidR="00636F13" w:rsidRPr="00086EBA" w:rsidRDefault="00636F13" w:rsidP="00636F13">
      <w:pPr>
        <w:rPr>
          <w:color w:val="000000"/>
        </w:rPr>
      </w:pPr>
    </w:p>
    <w:p w14:paraId="3A9688A8" w14:textId="77777777" w:rsidR="00E02B93" w:rsidRPr="00086EBA" w:rsidRDefault="004C07CE" w:rsidP="00942056">
      <w:pPr>
        <w:ind w:left="567" w:right="386" w:hanging="11"/>
        <w:rPr>
          <w:b/>
        </w:rPr>
      </w:pPr>
      <w:r w:rsidRPr="00086EBA">
        <w:rPr>
          <w:b/>
        </w:rPr>
        <w:t>Value for Money &amp; Efficiency</w:t>
      </w:r>
      <w:r w:rsidR="00133F0E" w:rsidRPr="00086EBA">
        <w:rPr>
          <w:b/>
        </w:rPr>
        <w:t xml:space="preserve"> </w:t>
      </w:r>
    </w:p>
    <w:p w14:paraId="3C057072" w14:textId="5A67356D" w:rsidR="00E44A3A" w:rsidRPr="00086EBA" w:rsidRDefault="009410B2" w:rsidP="00E44A3A">
      <w:pPr>
        <w:ind w:left="567" w:right="386" w:hanging="567"/>
        <w:rPr>
          <w:rFonts w:cs="Arial"/>
        </w:rPr>
      </w:pPr>
      <w:r>
        <w:t>28</w:t>
      </w:r>
      <w:r>
        <w:tab/>
      </w:r>
      <w:r w:rsidR="00B93CD9" w:rsidRPr="00086EBA">
        <w:t>O</w:t>
      </w:r>
      <w:r w:rsidR="00683034" w:rsidRPr="00086EBA">
        <w:t xml:space="preserve">ver the </w:t>
      </w:r>
      <w:r w:rsidR="005663CA" w:rsidRPr="00086EBA">
        <w:t>next four years</w:t>
      </w:r>
      <w:r w:rsidR="00D01DFA" w:rsidRPr="00086EBA">
        <w:t xml:space="preserve"> </w:t>
      </w:r>
      <w:r w:rsidR="00B93CD9" w:rsidRPr="00086EBA">
        <w:t xml:space="preserve">the Council </w:t>
      </w:r>
      <w:r w:rsidR="005663CA" w:rsidRPr="00086EBA">
        <w:t>will generate a further £</w:t>
      </w:r>
      <w:r w:rsidR="00086EBA" w:rsidRPr="00086EBA">
        <w:t>3.5</w:t>
      </w:r>
      <w:r w:rsidR="00CF6A02">
        <w:t xml:space="preserve"> million </w:t>
      </w:r>
      <w:r w:rsidR="005663CA" w:rsidRPr="00086EBA">
        <w:t>of efficiencies</w:t>
      </w:r>
      <w:r w:rsidR="0095436C" w:rsidRPr="00086EBA">
        <w:t xml:space="preserve">, </w:t>
      </w:r>
      <w:r w:rsidR="005663CA" w:rsidRPr="00086EBA">
        <w:t xml:space="preserve">with </w:t>
      </w:r>
      <w:r w:rsidR="00022FE4" w:rsidRPr="00086EBA">
        <w:t>on-going</w:t>
      </w:r>
      <w:r w:rsidR="005663CA" w:rsidRPr="00086EBA">
        <w:t xml:space="preserve"> </w:t>
      </w:r>
      <w:r w:rsidR="00022FE4" w:rsidRPr="00086EBA">
        <w:t>efficiencies</w:t>
      </w:r>
      <w:r w:rsidR="005663CA" w:rsidRPr="00086EBA">
        <w:t xml:space="preserve"> </w:t>
      </w:r>
      <w:r w:rsidR="00317C87" w:rsidRPr="00086EBA">
        <w:t>of £1</w:t>
      </w:r>
      <w:r w:rsidR="00086EBA" w:rsidRPr="00086EBA">
        <w:t>.2</w:t>
      </w:r>
      <w:r w:rsidR="00317C87" w:rsidRPr="00086EBA">
        <w:t xml:space="preserve"> million be</w:t>
      </w:r>
      <w:r w:rsidR="00086EBA" w:rsidRPr="00086EBA">
        <w:t>ing</w:t>
      </w:r>
      <w:r w:rsidR="00317C87" w:rsidRPr="00086EBA">
        <w:t xml:space="preserve"> achieved from 2020/21 onwards.</w:t>
      </w:r>
      <w:r w:rsidR="003F2DB2" w:rsidRPr="00086EBA">
        <w:t xml:space="preserve"> </w:t>
      </w:r>
      <w:r w:rsidR="00052F09" w:rsidRPr="00086EBA">
        <w:rPr>
          <w:rFonts w:cs="Arial"/>
        </w:rPr>
        <w:t>Th</w:t>
      </w:r>
      <w:r w:rsidR="001416DD" w:rsidRPr="00086EBA">
        <w:rPr>
          <w:rFonts w:cs="Arial"/>
        </w:rPr>
        <w:t>e</w:t>
      </w:r>
      <w:r w:rsidR="00052F09" w:rsidRPr="00086EBA">
        <w:rPr>
          <w:rFonts w:cs="Arial"/>
        </w:rPr>
        <w:t xml:space="preserve"> </w:t>
      </w:r>
      <w:r w:rsidR="00F81BB5" w:rsidRPr="00086EBA">
        <w:rPr>
          <w:rFonts w:cs="Arial"/>
        </w:rPr>
        <w:t>programme</w:t>
      </w:r>
      <w:r w:rsidR="00052F09" w:rsidRPr="00086EBA">
        <w:rPr>
          <w:rFonts w:cs="Arial"/>
        </w:rPr>
        <w:t xml:space="preserve"> of </w:t>
      </w:r>
      <w:r w:rsidR="009A02E5" w:rsidRPr="00086EBA">
        <w:rPr>
          <w:rFonts w:cs="Arial"/>
        </w:rPr>
        <w:t xml:space="preserve">cumulative </w:t>
      </w:r>
      <w:r w:rsidR="00052F09" w:rsidRPr="00086EBA">
        <w:rPr>
          <w:rFonts w:cs="Arial"/>
        </w:rPr>
        <w:t xml:space="preserve">efficiency savings </w:t>
      </w:r>
      <w:r w:rsidR="007A29E6" w:rsidRPr="00086EBA">
        <w:rPr>
          <w:rFonts w:cs="Arial"/>
        </w:rPr>
        <w:t>a</w:t>
      </w:r>
      <w:r w:rsidR="00E44A3A" w:rsidRPr="00086EBA">
        <w:rPr>
          <w:rFonts w:cs="Arial"/>
        </w:rPr>
        <w:t>re</w:t>
      </w:r>
      <w:r w:rsidR="007A29E6" w:rsidRPr="00086EBA">
        <w:rPr>
          <w:rFonts w:cs="Arial"/>
        </w:rPr>
        <w:t xml:space="preserve"> set out in Appendix 3</w:t>
      </w:r>
      <w:r w:rsidR="00A20A09" w:rsidRPr="00086EBA">
        <w:rPr>
          <w:rFonts w:cs="Arial"/>
        </w:rPr>
        <w:t xml:space="preserve">. </w:t>
      </w:r>
      <w:r w:rsidR="00E44A3A" w:rsidRPr="00086EBA">
        <w:rPr>
          <w:rFonts w:cs="Arial"/>
        </w:rPr>
        <w:t>The</w:t>
      </w:r>
      <w:r w:rsidR="003B5986" w:rsidRPr="00086EBA">
        <w:rPr>
          <w:rFonts w:cs="Arial"/>
        </w:rPr>
        <w:t>y</w:t>
      </w:r>
      <w:r w:rsidR="00E44A3A" w:rsidRPr="00086EBA">
        <w:rPr>
          <w:rFonts w:cs="Arial"/>
        </w:rPr>
        <w:t xml:space="preserve"> </w:t>
      </w:r>
      <w:r w:rsidR="00022FE4" w:rsidRPr="00086EBA">
        <w:rPr>
          <w:rFonts w:cs="Arial"/>
        </w:rPr>
        <w:t>includ</w:t>
      </w:r>
      <w:r w:rsidR="003B5986" w:rsidRPr="00086EBA">
        <w:rPr>
          <w:rFonts w:cs="Arial"/>
        </w:rPr>
        <w:t>e</w:t>
      </w:r>
      <w:r w:rsidR="00022FE4" w:rsidRPr="00086EBA">
        <w:rPr>
          <w:rFonts w:cs="Arial"/>
        </w:rPr>
        <w:t>:</w:t>
      </w:r>
    </w:p>
    <w:p w14:paraId="37B78FF8" w14:textId="77777777" w:rsidR="00E44A3A" w:rsidRPr="002C2483" w:rsidRDefault="00E44A3A" w:rsidP="00E44A3A">
      <w:pPr>
        <w:ind w:left="567" w:right="386" w:hanging="567"/>
        <w:rPr>
          <w:rFonts w:cs="Arial"/>
          <w:highlight w:val="yellow"/>
        </w:rPr>
      </w:pPr>
    </w:p>
    <w:p w14:paraId="181AECAC" w14:textId="77777777" w:rsidR="00317C87" w:rsidRPr="00086EBA" w:rsidRDefault="00317C87" w:rsidP="00302C27">
      <w:pPr>
        <w:numPr>
          <w:ilvl w:val="0"/>
          <w:numId w:val="13"/>
        </w:numPr>
        <w:ind w:right="386"/>
        <w:rPr>
          <w:rFonts w:cs="Arial"/>
        </w:rPr>
      </w:pPr>
      <w:r w:rsidRPr="00086EBA">
        <w:rPr>
          <w:rFonts w:cs="Arial"/>
        </w:rPr>
        <w:t>Multi skilling in call centre - £</w:t>
      </w:r>
      <w:r w:rsidR="00086EBA" w:rsidRPr="00086EBA">
        <w:rPr>
          <w:rFonts w:cs="Arial"/>
        </w:rPr>
        <w:t>110</w:t>
      </w:r>
      <w:r w:rsidRPr="00086EBA">
        <w:rPr>
          <w:rFonts w:cs="Arial"/>
        </w:rPr>
        <w:t>k</w:t>
      </w:r>
    </w:p>
    <w:p w14:paraId="5BF63236" w14:textId="77777777" w:rsidR="00317C87" w:rsidRDefault="00317C87" w:rsidP="00302C27">
      <w:pPr>
        <w:numPr>
          <w:ilvl w:val="0"/>
          <w:numId w:val="13"/>
        </w:numPr>
        <w:ind w:right="386"/>
        <w:rPr>
          <w:rFonts w:cs="Arial"/>
        </w:rPr>
      </w:pPr>
      <w:r w:rsidRPr="00086EBA">
        <w:rPr>
          <w:rFonts w:cs="Arial"/>
        </w:rPr>
        <w:t>Reductions in ICT Business Partners - £115k per annum</w:t>
      </w:r>
    </w:p>
    <w:p w14:paraId="0EF13682" w14:textId="189C99F9" w:rsidR="00086EBA" w:rsidRPr="00086EBA" w:rsidRDefault="00DE5B9C" w:rsidP="00302C27">
      <w:pPr>
        <w:numPr>
          <w:ilvl w:val="0"/>
          <w:numId w:val="13"/>
        </w:numPr>
        <w:ind w:right="386"/>
        <w:rPr>
          <w:rFonts w:cs="Arial"/>
        </w:rPr>
      </w:pPr>
      <w:r>
        <w:rPr>
          <w:rFonts w:cs="Arial"/>
        </w:rPr>
        <w:t>Merger of customer service centres at St. Aldate’s from 2018</w:t>
      </w:r>
      <w:r w:rsidR="00086EBA">
        <w:rPr>
          <w:rFonts w:cs="Arial"/>
        </w:rPr>
        <w:t xml:space="preserve"> - £141k per annum</w:t>
      </w:r>
    </w:p>
    <w:p w14:paraId="56C4DA7D" w14:textId="77777777" w:rsidR="00317C87" w:rsidRPr="00086EBA" w:rsidRDefault="00B8025B" w:rsidP="00302C27">
      <w:pPr>
        <w:numPr>
          <w:ilvl w:val="0"/>
          <w:numId w:val="13"/>
        </w:numPr>
        <w:ind w:right="386"/>
        <w:rPr>
          <w:rFonts w:cs="Arial"/>
        </w:rPr>
      </w:pPr>
      <w:r>
        <w:rPr>
          <w:rFonts w:cs="Arial"/>
        </w:rPr>
        <w:t>Savings</w:t>
      </w:r>
      <w:r w:rsidR="00317C87" w:rsidRPr="00086EBA">
        <w:rPr>
          <w:rFonts w:cs="Arial"/>
        </w:rPr>
        <w:t xml:space="preserve"> in Planning IT scanning contract £70k per annum</w:t>
      </w:r>
    </w:p>
    <w:p w14:paraId="58FECF44" w14:textId="77777777" w:rsidR="00317C87" w:rsidRPr="00086EBA" w:rsidRDefault="00317C87" w:rsidP="00302C27">
      <w:pPr>
        <w:numPr>
          <w:ilvl w:val="0"/>
          <w:numId w:val="13"/>
        </w:numPr>
        <w:ind w:right="386"/>
        <w:rPr>
          <w:rFonts w:cs="Arial"/>
        </w:rPr>
      </w:pPr>
      <w:r w:rsidRPr="00086EBA">
        <w:rPr>
          <w:rFonts w:cs="Arial"/>
        </w:rPr>
        <w:t>Staffing savings in Financial Services - £</w:t>
      </w:r>
      <w:r w:rsidR="00086EBA">
        <w:rPr>
          <w:rFonts w:cs="Arial"/>
        </w:rPr>
        <w:t>16</w:t>
      </w:r>
      <w:r w:rsidRPr="00086EBA">
        <w:rPr>
          <w:rFonts w:cs="Arial"/>
        </w:rPr>
        <w:t>8k per annum</w:t>
      </w:r>
    </w:p>
    <w:p w14:paraId="42624616" w14:textId="7CC63188" w:rsidR="00E44A3A" w:rsidRPr="00086EBA" w:rsidRDefault="00E44A3A" w:rsidP="00302C27">
      <w:pPr>
        <w:numPr>
          <w:ilvl w:val="0"/>
          <w:numId w:val="13"/>
        </w:numPr>
        <w:ind w:right="386"/>
        <w:rPr>
          <w:rFonts w:cs="Arial"/>
        </w:rPr>
      </w:pPr>
      <w:r w:rsidRPr="00086EBA">
        <w:rPr>
          <w:rFonts w:cs="Arial"/>
        </w:rPr>
        <w:t>Renegotiation of leisure centre contract</w:t>
      </w:r>
      <w:r w:rsidR="00255DB0" w:rsidRPr="00086EBA">
        <w:rPr>
          <w:rFonts w:cs="Arial"/>
        </w:rPr>
        <w:t xml:space="preserve"> - </w:t>
      </w:r>
      <w:r w:rsidR="00EC3D17">
        <w:rPr>
          <w:rFonts w:cs="Arial"/>
        </w:rPr>
        <w:t>£216k per annum</w:t>
      </w:r>
    </w:p>
    <w:p w14:paraId="4F27806D" w14:textId="77777777" w:rsidR="00432F38" w:rsidRPr="002C2483" w:rsidRDefault="00432F38" w:rsidP="00432F38">
      <w:pPr>
        <w:ind w:left="1284" w:right="386"/>
        <w:rPr>
          <w:rFonts w:cs="Arial"/>
          <w:highlight w:val="yellow"/>
        </w:rPr>
      </w:pPr>
    </w:p>
    <w:p w14:paraId="3976A58C" w14:textId="77777777" w:rsidR="00C143DE" w:rsidRDefault="00CB2E55" w:rsidP="00CB2E55">
      <w:pPr>
        <w:ind w:left="567" w:right="386" w:hanging="567"/>
        <w:rPr>
          <w:rFonts w:cs="Arial"/>
          <w:b/>
        </w:rPr>
      </w:pPr>
      <w:r>
        <w:rPr>
          <w:rFonts w:cs="Arial"/>
        </w:rPr>
        <w:t xml:space="preserve"> </w:t>
      </w:r>
      <w:r>
        <w:rPr>
          <w:rFonts w:cs="Arial"/>
        </w:rPr>
        <w:tab/>
      </w:r>
      <w:r w:rsidRPr="00CB2E55">
        <w:rPr>
          <w:rFonts w:cs="Arial"/>
          <w:b/>
        </w:rPr>
        <w:t>Fundamental Service Reviews</w:t>
      </w:r>
    </w:p>
    <w:p w14:paraId="17B9BE6F" w14:textId="0F66C361" w:rsidR="00B8025B" w:rsidRDefault="009410B2" w:rsidP="00B8025B">
      <w:pPr>
        <w:ind w:left="567" w:right="386" w:hanging="567"/>
        <w:rPr>
          <w:rFonts w:cs="Arial"/>
        </w:rPr>
      </w:pPr>
      <w:r>
        <w:rPr>
          <w:rFonts w:cs="Arial"/>
        </w:rPr>
        <w:t>29</w:t>
      </w:r>
      <w:r w:rsidR="00CB2E55">
        <w:rPr>
          <w:rFonts w:cs="Arial"/>
        </w:rPr>
        <w:tab/>
      </w:r>
      <w:r w:rsidR="00B8025B">
        <w:rPr>
          <w:rFonts w:cs="Arial"/>
        </w:rPr>
        <w:t xml:space="preserve">As part of </w:t>
      </w:r>
      <w:r w:rsidR="004D1C10">
        <w:rPr>
          <w:rFonts w:cs="Arial"/>
        </w:rPr>
        <w:t xml:space="preserve">the Council’s </w:t>
      </w:r>
      <w:r w:rsidR="00B8025B">
        <w:rPr>
          <w:rFonts w:cs="Arial"/>
        </w:rPr>
        <w:t>budget setting preparations officers have initiated a number of fundamental service reviews. The reviews have challenged current</w:t>
      </w:r>
      <w:r w:rsidR="009172F5">
        <w:rPr>
          <w:rFonts w:cs="Arial"/>
        </w:rPr>
        <w:t xml:space="preserve"> working practices, looking at </w:t>
      </w:r>
      <w:r w:rsidR="00B8025B">
        <w:rPr>
          <w:rFonts w:cs="Arial"/>
        </w:rPr>
        <w:t>benchmarking data for performance and costs</w:t>
      </w:r>
      <w:proofErr w:type="gramStart"/>
      <w:r w:rsidR="00B8025B">
        <w:rPr>
          <w:rFonts w:cs="Arial"/>
        </w:rPr>
        <w:t>,  alternative</w:t>
      </w:r>
      <w:proofErr w:type="gramEnd"/>
      <w:r w:rsidR="00B8025B">
        <w:rPr>
          <w:rFonts w:cs="Arial"/>
        </w:rPr>
        <w:t xml:space="preserve"> delivery models and best practice both within and outside the sector. All Council services will be reviewed over a period of 4 years and of the 6 services subject to review in the first year two have completed and produced savings as shown below:</w:t>
      </w:r>
    </w:p>
    <w:p w14:paraId="4BCB623E" w14:textId="77777777" w:rsidR="00B8025B" w:rsidRDefault="00B8025B" w:rsidP="00B8025B">
      <w:pPr>
        <w:ind w:left="567" w:right="386" w:hanging="567"/>
        <w:rPr>
          <w:rFonts w:cs="Arial"/>
        </w:rPr>
      </w:pPr>
    </w:p>
    <w:p w14:paraId="5484CE06" w14:textId="77777777" w:rsidR="007B4A0D" w:rsidRDefault="00843783" w:rsidP="00843783">
      <w:pPr>
        <w:numPr>
          <w:ilvl w:val="0"/>
          <w:numId w:val="36"/>
        </w:numPr>
        <w:ind w:right="386"/>
        <w:rPr>
          <w:rFonts w:cs="Arial"/>
        </w:rPr>
      </w:pPr>
      <w:r w:rsidRPr="00A471B3">
        <w:rPr>
          <w:rFonts w:cs="Arial"/>
          <w:b/>
        </w:rPr>
        <w:t>General Fund Housing Services</w:t>
      </w:r>
      <w:r>
        <w:rPr>
          <w:rFonts w:cs="Arial"/>
        </w:rPr>
        <w:t xml:space="preserve">  - </w:t>
      </w:r>
    </w:p>
    <w:p w14:paraId="05E08C6F" w14:textId="77777777" w:rsidR="007B4A0D" w:rsidRDefault="007B4A0D" w:rsidP="007B4A0D">
      <w:pPr>
        <w:numPr>
          <w:ilvl w:val="1"/>
          <w:numId w:val="36"/>
        </w:numPr>
        <w:ind w:right="386"/>
        <w:rPr>
          <w:rFonts w:cs="Arial"/>
        </w:rPr>
      </w:pPr>
      <w:r>
        <w:rPr>
          <w:rFonts w:cs="Arial"/>
          <w:b/>
        </w:rPr>
        <w:t xml:space="preserve">Housing Benefit Subsidy </w:t>
      </w:r>
      <w:r w:rsidRPr="007B4A0D">
        <w:rPr>
          <w:rFonts w:cs="Arial"/>
        </w:rPr>
        <w:t>-</w:t>
      </w:r>
      <w:r>
        <w:rPr>
          <w:rFonts w:cs="Arial"/>
        </w:rPr>
        <w:t xml:space="preserve"> £100k saving for 2 years in restructuring contracts with service providers in order to mitigate loss of housing benefit subsidy</w:t>
      </w:r>
    </w:p>
    <w:p w14:paraId="1278200C" w14:textId="77777777" w:rsidR="00843783" w:rsidRPr="00843783" w:rsidRDefault="007B4A0D" w:rsidP="007B4A0D">
      <w:pPr>
        <w:numPr>
          <w:ilvl w:val="1"/>
          <w:numId w:val="36"/>
        </w:numPr>
        <w:ind w:right="386"/>
        <w:rPr>
          <w:rFonts w:cs="Arial"/>
        </w:rPr>
      </w:pPr>
      <w:r>
        <w:rPr>
          <w:rFonts w:cs="Arial"/>
          <w:b/>
        </w:rPr>
        <w:t xml:space="preserve">Homelessness </w:t>
      </w:r>
      <w:r>
        <w:rPr>
          <w:rFonts w:cs="Arial"/>
        </w:rPr>
        <w:t>– Ongoing savings of £200k fr</w:t>
      </w:r>
      <w:r w:rsidR="00B8025B">
        <w:rPr>
          <w:rFonts w:cs="Arial"/>
        </w:rPr>
        <w:t>o</w:t>
      </w:r>
      <w:r>
        <w:rPr>
          <w:rFonts w:cs="Arial"/>
        </w:rPr>
        <w:t>m purchasing 39 units for around £10million to house homeless families saving both temporary accommodation costs and making a small return for the council</w:t>
      </w:r>
      <w:r w:rsidR="00B8025B">
        <w:rPr>
          <w:rFonts w:cs="Arial"/>
        </w:rPr>
        <w:t>. Project approval for this appears elsewhere on the agenda.</w:t>
      </w:r>
      <w:r w:rsidR="00843783">
        <w:rPr>
          <w:rFonts w:cs="Arial"/>
        </w:rPr>
        <w:t xml:space="preserve"> </w:t>
      </w:r>
    </w:p>
    <w:p w14:paraId="257215CC" w14:textId="3B270EE2" w:rsidR="00843783" w:rsidRDefault="00843783" w:rsidP="00843783">
      <w:pPr>
        <w:numPr>
          <w:ilvl w:val="0"/>
          <w:numId w:val="36"/>
        </w:numPr>
        <w:ind w:right="386"/>
        <w:rPr>
          <w:rFonts w:cs="Arial"/>
        </w:rPr>
      </w:pPr>
      <w:r w:rsidRPr="00843783">
        <w:rPr>
          <w:rFonts w:cs="Arial"/>
          <w:b/>
        </w:rPr>
        <w:t>Waste services</w:t>
      </w:r>
      <w:r>
        <w:rPr>
          <w:rFonts w:cs="Arial"/>
        </w:rPr>
        <w:t xml:space="preserve"> – </w:t>
      </w:r>
      <w:r w:rsidR="007B4A0D">
        <w:rPr>
          <w:rFonts w:cs="Arial"/>
        </w:rPr>
        <w:t>examined different methods and times of waste collection. Noted as high performing against most comparator authorities with limited ability to make more efficiencies with the exception of driving</w:t>
      </w:r>
      <w:r w:rsidR="00A83443">
        <w:rPr>
          <w:rFonts w:cs="Arial"/>
        </w:rPr>
        <w:t xml:space="preserve"> additional commercial waste</w:t>
      </w:r>
      <w:r w:rsidR="007B4A0D">
        <w:rPr>
          <w:rFonts w:cs="Arial"/>
        </w:rPr>
        <w:t xml:space="preserve"> business. Additional </w:t>
      </w:r>
      <w:r w:rsidR="00EC3D17">
        <w:rPr>
          <w:rFonts w:cs="Arial"/>
        </w:rPr>
        <w:t xml:space="preserve">£16k per annum </w:t>
      </w:r>
      <w:r w:rsidR="007B4A0D">
        <w:rPr>
          <w:rFonts w:cs="Arial"/>
        </w:rPr>
        <w:t>income included in MTFP together with lim</w:t>
      </w:r>
      <w:r w:rsidR="00B8025B">
        <w:rPr>
          <w:rFonts w:cs="Arial"/>
        </w:rPr>
        <w:t>i</w:t>
      </w:r>
      <w:r w:rsidR="007B4A0D">
        <w:rPr>
          <w:rFonts w:cs="Arial"/>
        </w:rPr>
        <w:t>ted number of changes to charging arrangements such as increasing charges for green waste to cost recovery.</w:t>
      </w:r>
      <w:r>
        <w:rPr>
          <w:rFonts w:cs="Arial"/>
        </w:rPr>
        <w:t xml:space="preserve"> </w:t>
      </w:r>
      <w:r w:rsidR="00A83443">
        <w:rPr>
          <w:rFonts w:cs="Arial"/>
        </w:rPr>
        <w:t>Confirmed the business case to provide a local recycling transfer station.</w:t>
      </w:r>
    </w:p>
    <w:p w14:paraId="2BC1EFAB" w14:textId="54F91489" w:rsidR="002C425A" w:rsidRDefault="002C425A" w:rsidP="002C425A">
      <w:pPr>
        <w:ind w:left="1290" w:right="386"/>
        <w:rPr>
          <w:rFonts w:cs="Arial"/>
        </w:rPr>
      </w:pPr>
    </w:p>
    <w:p w14:paraId="45B70F9C" w14:textId="5949F77F" w:rsidR="00B8025B" w:rsidRDefault="00B8025B" w:rsidP="00B8025B">
      <w:pPr>
        <w:ind w:left="720" w:right="386" w:hanging="720"/>
        <w:rPr>
          <w:rFonts w:cs="Arial"/>
        </w:rPr>
      </w:pPr>
      <w:r>
        <w:rPr>
          <w:rFonts w:cs="Arial"/>
        </w:rPr>
        <w:t>30</w:t>
      </w:r>
      <w:r>
        <w:rPr>
          <w:rFonts w:cs="Arial"/>
        </w:rPr>
        <w:tab/>
        <w:t xml:space="preserve">Work on the </w:t>
      </w:r>
      <w:r w:rsidR="001E172C">
        <w:rPr>
          <w:rFonts w:cs="Arial"/>
        </w:rPr>
        <w:t>4</w:t>
      </w:r>
      <w:r>
        <w:rPr>
          <w:rFonts w:cs="Arial"/>
        </w:rPr>
        <w:t xml:space="preserve"> other review areas: Procurement &amp; Payments, Law &amp; Governance, </w:t>
      </w:r>
      <w:r w:rsidR="001E172C">
        <w:rPr>
          <w:rFonts w:cs="Arial"/>
        </w:rPr>
        <w:t xml:space="preserve">Leisure Services, </w:t>
      </w:r>
      <w:r>
        <w:rPr>
          <w:rFonts w:cs="Arial"/>
        </w:rPr>
        <w:t xml:space="preserve">Human Resources and Organisational Development </w:t>
      </w:r>
      <w:proofErr w:type="gramStart"/>
      <w:r>
        <w:rPr>
          <w:rFonts w:cs="Arial"/>
        </w:rPr>
        <w:t>is</w:t>
      </w:r>
      <w:proofErr w:type="gramEnd"/>
      <w:r>
        <w:rPr>
          <w:rFonts w:cs="Arial"/>
        </w:rPr>
        <w:t xml:space="preserve"> ongoing and will be built into the budget process once completed</w:t>
      </w:r>
    </w:p>
    <w:p w14:paraId="1ADEAAF7" w14:textId="77777777" w:rsidR="00B8025B" w:rsidRDefault="00B8025B" w:rsidP="00B8025B">
      <w:pPr>
        <w:ind w:left="1290" w:right="386"/>
        <w:rPr>
          <w:rFonts w:cs="Arial"/>
        </w:rPr>
      </w:pPr>
    </w:p>
    <w:p w14:paraId="6B5190A8" w14:textId="77777777" w:rsidR="00EF3552" w:rsidRPr="004A5AEB" w:rsidRDefault="00F22B3F" w:rsidP="007C20F4">
      <w:pPr>
        <w:ind w:right="386" w:firstLine="540"/>
        <w:rPr>
          <w:b/>
        </w:rPr>
      </w:pPr>
      <w:r w:rsidRPr="004A5AEB">
        <w:rPr>
          <w:b/>
        </w:rPr>
        <w:lastRenderedPageBreak/>
        <w:t xml:space="preserve">Planning Assumptions </w:t>
      </w:r>
    </w:p>
    <w:p w14:paraId="33276F73" w14:textId="77777777" w:rsidR="00B8025B" w:rsidRPr="004A5AEB" w:rsidRDefault="00B8025B" w:rsidP="00B8025B">
      <w:pPr>
        <w:ind w:left="567" w:right="386" w:hanging="567"/>
      </w:pPr>
      <w:r>
        <w:t>31</w:t>
      </w:r>
      <w:r w:rsidR="00CA2DE5" w:rsidRPr="004A5AEB">
        <w:tab/>
      </w:r>
      <w:r w:rsidRPr="004A5AEB">
        <w:t>The following planning assumptions are included within the Medium Term Financial Strategy:</w:t>
      </w:r>
    </w:p>
    <w:p w14:paraId="0AEB5058" w14:textId="77777777" w:rsidR="00B8025B" w:rsidRPr="004A5AEB" w:rsidRDefault="00B8025B" w:rsidP="00B8025B">
      <w:pPr>
        <w:ind w:left="567" w:right="386" w:hanging="567"/>
        <w:rPr>
          <w:u w:val="single"/>
        </w:rPr>
      </w:pPr>
    </w:p>
    <w:p w14:paraId="37CBE004" w14:textId="2D21995B" w:rsidR="00B1285C" w:rsidRPr="004A5AEB" w:rsidRDefault="00B1285C" w:rsidP="006A42B3">
      <w:pPr>
        <w:pStyle w:val="ListParagraph"/>
        <w:numPr>
          <w:ilvl w:val="0"/>
          <w:numId w:val="41"/>
        </w:numPr>
        <w:spacing w:after="120"/>
        <w:ind w:right="386"/>
      </w:pPr>
      <w:r w:rsidRPr="006A42B3">
        <w:rPr>
          <w:rFonts w:cs="Arial"/>
          <w:b/>
        </w:rPr>
        <w:t>Base Budget</w:t>
      </w:r>
      <w:r w:rsidRPr="006A42B3">
        <w:rPr>
          <w:rFonts w:cs="Arial"/>
        </w:rPr>
        <w:t xml:space="preserve"> - The starting point for planning is the 2016-17 base budget position as agreed by Council in February 2016, adjusted for any one-off savings and growth. </w:t>
      </w:r>
    </w:p>
    <w:p w14:paraId="4E869C2D" w14:textId="3F86E251" w:rsidR="00B1285C" w:rsidRPr="006A42B3" w:rsidRDefault="00B1285C" w:rsidP="006A42B3">
      <w:pPr>
        <w:pStyle w:val="ListParagraph"/>
        <w:numPr>
          <w:ilvl w:val="0"/>
          <w:numId w:val="41"/>
        </w:numPr>
        <w:tabs>
          <w:tab w:val="left" w:pos="2160"/>
        </w:tabs>
        <w:spacing w:after="120"/>
        <w:rPr>
          <w:rFonts w:cs="Arial"/>
          <w:color w:val="000000"/>
        </w:rPr>
      </w:pPr>
      <w:r w:rsidRPr="006A42B3">
        <w:rPr>
          <w:rFonts w:cs="Arial"/>
          <w:b/>
        </w:rPr>
        <w:t>Inflation</w:t>
      </w:r>
      <w:r w:rsidRPr="006A42B3">
        <w:rPr>
          <w:rFonts w:cs="Arial"/>
        </w:rPr>
        <w:t xml:space="preserve"> –Most budgets are cash limited. Over the period CPI is expected to increase to 3% which could squeeze budgets harder.</w:t>
      </w:r>
    </w:p>
    <w:p w14:paraId="0075F0FA" w14:textId="77777777" w:rsidR="00B8025B" w:rsidRPr="0010427B" w:rsidRDefault="00B8025B" w:rsidP="006A42B3">
      <w:pPr>
        <w:numPr>
          <w:ilvl w:val="0"/>
          <w:numId w:val="41"/>
        </w:numPr>
        <w:tabs>
          <w:tab w:val="left" w:pos="2160"/>
        </w:tabs>
        <w:spacing w:after="120"/>
        <w:rPr>
          <w:rFonts w:cs="Arial"/>
          <w:color w:val="000000"/>
        </w:rPr>
      </w:pPr>
      <w:r w:rsidRPr="004A5AEB">
        <w:rPr>
          <w:b/>
        </w:rPr>
        <w:t>Council Tax Increase</w:t>
      </w:r>
      <w:r w:rsidRPr="004A5AEB">
        <w:t xml:space="preserve"> – The current assumption is for a 1.99% rise </w:t>
      </w:r>
      <w:r>
        <w:t>per annum for the four years of the plan</w:t>
      </w:r>
      <w:r w:rsidRPr="004A5AEB">
        <w:t xml:space="preserve"> on the basis that </w:t>
      </w:r>
      <w:r>
        <w:t xml:space="preserve">increases will </w:t>
      </w:r>
      <w:r w:rsidRPr="004A5AEB">
        <w:t xml:space="preserve">be capped </w:t>
      </w:r>
      <w:r>
        <w:t>at 2%</w:t>
      </w:r>
      <w:r w:rsidRPr="004A5AEB">
        <w:t xml:space="preserve">. </w:t>
      </w:r>
    </w:p>
    <w:p w14:paraId="47AA525A" w14:textId="77777777" w:rsidR="00B8025B" w:rsidRPr="00B1285C" w:rsidRDefault="00B8025B" w:rsidP="006A42B3">
      <w:pPr>
        <w:numPr>
          <w:ilvl w:val="0"/>
          <w:numId w:val="41"/>
        </w:numPr>
        <w:tabs>
          <w:tab w:val="left" w:pos="2160"/>
        </w:tabs>
        <w:spacing w:after="120"/>
        <w:rPr>
          <w:rFonts w:cs="Arial"/>
          <w:color w:val="000000"/>
        </w:rPr>
      </w:pPr>
      <w:r w:rsidRPr="0010427B">
        <w:rPr>
          <w:b/>
          <w:color w:val="000000"/>
        </w:rPr>
        <w:t>Investment Interest</w:t>
      </w:r>
      <w:r w:rsidRPr="0010427B">
        <w:rPr>
          <w:color w:val="000000"/>
        </w:rPr>
        <w:t xml:space="preserve"> – The Bank of England base rate </w:t>
      </w:r>
      <w:r>
        <w:rPr>
          <w:color w:val="000000"/>
        </w:rPr>
        <w:t xml:space="preserve">is </w:t>
      </w:r>
      <w:r w:rsidRPr="0010427B">
        <w:rPr>
          <w:color w:val="000000"/>
        </w:rPr>
        <w:t xml:space="preserve">0.25% </w:t>
      </w:r>
      <w:r>
        <w:rPr>
          <w:color w:val="000000"/>
        </w:rPr>
        <w:t>and projected to fall</w:t>
      </w:r>
      <w:r w:rsidRPr="0010427B">
        <w:rPr>
          <w:color w:val="000000"/>
        </w:rPr>
        <w:t xml:space="preserve"> again to 0.1% in the first quarter of 2017 and remain at this level until they slowly begin to rise from September 2018. Forecasts of interest rates in the MTFP </w:t>
      </w:r>
      <w:r>
        <w:rPr>
          <w:color w:val="000000"/>
        </w:rPr>
        <w:t xml:space="preserve">range from 0.2% to 0.5% </w:t>
      </w:r>
      <w:r w:rsidRPr="0010427B">
        <w:rPr>
          <w:color w:val="000000"/>
        </w:rPr>
        <w:t xml:space="preserve">for the next </w:t>
      </w:r>
      <w:r>
        <w:rPr>
          <w:color w:val="000000"/>
        </w:rPr>
        <w:t xml:space="preserve">four </w:t>
      </w:r>
      <w:r w:rsidRPr="0010427B">
        <w:rPr>
          <w:color w:val="000000"/>
        </w:rPr>
        <w:t>years with income reducing by approximately £200k per annum to that previously forecast</w:t>
      </w:r>
    </w:p>
    <w:p w14:paraId="0D409E84" w14:textId="4F0518DA" w:rsidR="00B1285C" w:rsidRPr="0010427B" w:rsidRDefault="00B1285C" w:rsidP="006A42B3">
      <w:pPr>
        <w:numPr>
          <w:ilvl w:val="0"/>
          <w:numId w:val="41"/>
        </w:numPr>
        <w:tabs>
          <w:tab w:val="left" w:pos="2160"/>
        </w:tabs>
        <w:spacing w:after="120"/>
        <w:rPr>
          <w:rFonts w:cs="Arial"/>
          <w:color w:val="000000"/>
        </w:rPr>
      </w:pPr>
      <w:r>
        <w:rPr>
          <w:b/>
          <w:color w:val="000000"/>
        </w:rPr>
        <w:t xml:space="preserve">Homelessness Spend </w:t>
      </w:r>
      <w:r>
        <w:rPr>
          <w:rFonts w:cs="Arial"/>
          <w:color w:val="000000"/>
        </w:rPr>
        <w:t>– In spite of losing Homeless Prevention Grant funding of £9</w:t>
      </w:r>
      <w:r w:rsidR="00ED74EC">
        <w:rPr>
          <w:rFonts w:cs="Arial"/>
          <w:color w:val="000000"/>
        </w:rPr>
        <w:t>42</w:t>
      </w:r>
      <w:r>
        <w:rPr>
          <w:rFonts w:cs="Arial"/>
          <w:color w:val="000000"/>
        </w:rPr>
        <w:t>k per annum from 201</w:t>
      </w:r>
      <w:r w:rsidR="00ED74EC">
        <w:rPr>
          <w:rFonts w:cs="Arial"/>
          <w:color w:val="000000"/>
        </w:rPr>
        <w:t>6</w:t>
      </w:r>
      <w:r>
        <w:rPr>
          <w:rFonts w:cs="Arial"/>
          <w:color w:val="000000"/>
        </w:rPr>
        <w:t>/201</w:t>
      </w:r>
      <w:r w:rsidR="00ED74EC">
        <w:rPr>
          <w:rFonts w:cs="Arial"/>
          <w:color w:val="000000"/>
        </w:rPr>
        <w:t>7</w:t>
      </w:r>
      <w:r>
        <w:rPr>
          <w:rFonts w:cs="Arial"/>
          <w:color w:val="000000"/>
        </w:rPr>
        <w:t xml:space="preserve"> the Council have maintained</w:t>
      </w:r>
      <w:r w:rsidR="004E5B16">
        <w:rPr>
          <w:rFonts w:cs="Arial"/>
          <w:color w:val="000000"/>
        </w:rPr>
        <w:t xml:space="preserve"> in full</w:t>
      </w:r>
      <w:r>
        <w:rPr>
          <w:rFonts w:cs="Arial"/>
          <w:color w:val="000000"/>
        </w:rPr>
        <w:t xml:space="preserve"> this level of spend in this area. </w:t>
      </w:r>
    </w:p>
    <w:p w14:paraId="73CEF5CD" w14:textId="02142062" w:rsidR="00B8025B" w:rsidRPr="004A5AEB" w:rsidRDefault="00B8025B" w:rsidP="006A42B3">
      <w:pPr>
        <w:numPr>
          <w:ilvl w:val="0"/>
          <w:numId w:val="41"/>
        </w:numPr>
        <w:spacing w:after="120"/>
        <w:ind w:right="386"/>
        <w:rPr>
          <w:rFonts w:cs="Arial"/>
        </w:rPr>
      </w:pPr>
      <w:r w:rsidRPr="004A5AEB">
        <w:rPr>
          <w:rFonts w:cs="Arial"/>
          <w:b/>
        </w:rPr>
        <w:t>Pay Assumptions</w:t>
      </w:r>
      <w:r w:rsidRPr="004A5AEB">
        <w:rPr>
          <w:rFonts w:cs="Arial"/>
        </w:rPr>
        <w:t xml:space="preserve"> – In 2013/14 the Council negotiated a four year pay settlement with the Unions of 1.5% per annum in exchange for leaving the national pay agreement. </w:t>
      </w:r>
      <w:r>
        <w:rPr>
          <w:rFonts w:cs="Arial"/>
        </w:rPr>
        <w:t>A</w:t>
      </w:r>
      <w:r w:rsidRPr="004A5AEB">
        <w:rPr>
          <w:rFonts w:cs="Arial"/>
        </w:rPr>
        <w:t xml:space="preserve"> new deal will be negotiated during 2017/18</w:t>
      </w:r>
      <w:r>
        <w:rPr>
          <w:rFonts w:cs="Arial"/>
        </w:rPr>
        <w:t xml:space="preserve"> prior to the current arrangement ending on 1/4/18.</w:t>
      </w:r>
    </w:p>
    <w:p w14:paraId="65B8B6E7" w14:textId="77777777" w:rsidR="00B8025B" w:rsidRPr="004A5AEB" w:rsidRDefault="00B8025B" w:rsidP="006A42B3">
      <w:pPr>
        <w:numPr>
          <w:ilvl w:val="0"/>
          <w:numId w:val="41"/>
        </w:numPr>
        <w:spacing w:after="120"/>
        <w:ind w:right="386"/>
        <w:rPr>
          <w:rFonts w:cs="Arial"/>
        </w:rPr>
      </w:pPr>
      <w:r w:rsidRPr="004A5AEB">
        <w:rPr>
          <w:rFonts w:cs="Arial"/>
          <w:b/>
        </w:rPr>
        <w:t>Pensions</w:t>
      </w:r>
      <w:r w:rsidRPr="004A5AEB">
        <w:rPr>
          <w:rFonts w:cs="Arial"/>
        </w:rPr>
        <w:t xml:space="preserve"> - The Medium Term Financial Strategy includes an increase from the current contribution in line with pay inflation increases. In addition a provision has been made of £200k per annum to cover additional costs which may arise from the Funds triennial valuation which will be implemented with effect from 1/4/2017. </w:t>
      </w:r>
    </w:p>
    <w:p w14:paraId="7A4D9874" w14:textId="6D8559C1" w:rsidR="00B8025B" w:rsidRPr="002A049F" w:rsidRDefault="006A42B3" w:rsidP="006A42B3">
      <w:pPr>
        <w:tabs>
          <w:tab w:val="left" w:pos="1134"/>
        </w:tabs>
        <w:spacing w:after="120"/>
        <w:ind w:left="1134" w:right="386" w:hanging="425"/>
      </w:pPr>
      <w:r>
        <w:rPr>
          <w:b/>
        </w:rPr>
        <w:t xml:space="preserve">h) </w:t>
      </w:r>
      <w:r>
        <w:rPr>
          <w:b/>
        </w:rPr>
        <w:tab/>
      </w:r>
      <w:r w:rsidR="00B8025B" w:rsidRPr="002A049F">
        <w:rPr>
          <w:b/>
        </w:rPr>
        <w:t xml:space="preserve">Increases in Fees and Charges </w:t>
      </w:r>
      <w:r w:rsidR="00B8025B" w:rsidRPr="002A049F">
        <w:t>–</w:t>
      </w:r>
      <w:r w:rsidR="00B8025B">
        <w:t>F</w:t>
      </w:r>
      <w:r w:rsidR="00B8025B" w:rsidRPr="002A049F">
        <w:t xml:space="preserve">ees and charges </w:t>
      </w:r>
      <w:r w:rsidR="00B8025B">
        <w:t xml:space="preserve">are projected </w:t>
      </w:r>
      <w:r w:rsidR="00B8025B" w:rsidRPr="002A049F">
        <w:t xml:space="preserve">to increase </w:t>
      </w:r>
      <w:r w:rsidR="00B8025B">
        <w:t xml:space="preserve">by </w:t>
      </w:r>
      <w:r w:rsidR="00B8025B" w:rsidRPr="002A049F">
        <w:t xml:space="preserve">£2.3 million </w:t>
      </w:r>
      <w:r w:rsidR="00B8025B">
        <w:t>over the 4 years to</w:t>
      </w:r>
      <w:r w:rsidR="00B8025B" w:rsidRPr="002A049F">
        <w:t xml:space="preserve"> 2020-21. In 2017-18 there are increases in the areas shown below details of which are given in Appendix 8. </w:t>
      </w:r>
    </w:p>
    <w:p w14:paraId="0DDE807F" w14:textId="77777777" w:rsidR="00B8025B" w:rsidRPr="002A049F" w:rsidRDefault="00B8025B" w:rsidP="00B8025B">
      <w:pPr>
        <w:numPr>
          <w:ilvl w:val="2"/>
          <w:numId w:val="10"/>
        </w:numPr>
        <w:tabs>
          <w:tab w:val="num" w:pos="1418"/>
          <w:tab w:val="left" w:pos="2160"/>
        </w:tabs>
        <w:ind w:left="1418" w:right="386" w:firstLine="283"/>
      </w:pPr>
      <w:r>
        <w:t>G</w:t>
      </w:r>
      <w:r w:rsidRPr="002A049F">
        <w:t xml:space="preserve">arden waste bins </w:t>
      </w:r>
      <w:r>
        <w:t>-</w:t>
      </w:r>
      <w:r w:rsidRPr="002A049F">
        <w:t xml:space="preserve"> £2 per bin per year</w:t>
      </w:r>
    </w:p>
    <w:p w14:paraId="2BF44069" w14:textId="77777777" w:rsidR="00B8025B" w:rsidRPr="002A049F" w:rsidRDefault="00B8025B" w:rsidP="00B1285C">
      <w:pPr>
        <w:numPr>
          <w:ilvl w:val="2"/>
          <w:numId w:val="10"/>
        </w:numPr>
        <w:tabs>
          <w:tab w:val="left" w:pos="1418"/>
          <w:tab w:val="num" w:pos="2127"/>
          <w:tab w:val="left" w:pos="2160"/>
        </w:tabs>
        <w:ind w:left="1560" w:right="386" w:firstLine="0"/>
      </w:pPr>
      <w:r w:rsidRPr="002A049F">
        <w:t>Pre-application advice for planning services -</w:t>
      </w:r>
      <w:r>
        <w:t xml:space="preserve"> </w:t>
      </w:r>
      <w:r w:rsidRPr="002A049F">
        <w:t xml:space="preserve">3% - 8% </w:t>
      </w:r>
    </w:p>
    <w:p w14:paraId="5457BF6E" w14:textId="77777777" w:rsidR="00B8025B" w:rsidRPr="002A049F" w:rsidRDefault="00B8025B" w:rsidP="00A83682">
      <w:pPr>
        <w:numPr>
          <w:ilvl w:val="2"/>
          <w:numId w:val="10"/>
        </w:numPr>
        <w:tabs>
          <w:tab w:val="left" w:pos="1560"/>
        </w:tabs>
        <w:ind w:left="2127" w:right="386" w:hanging="567"/>
      </w:pPr>
      <w:r>
        <w:t xml:space="preserve">        </w:t>
      </w:r>
      <w:r w:rsidRPr="002A049F">
        <w:t xml:space="preserve">Leisure activities </w:t>
      </w:r>
    </w:p>
    <w:p w14:paraId="4557BD25" w14:textId="77777777" w:rsidR="00B8025B" w:rsidRPr="002A049F" w:rsidRDefault="00B8025B" w:rsidP="00B8025B">
      <w:pPr>
        <w:numPr>
          <w:ilvl w:val="0"/>
          <w:numId w:val="29"/>
        </w:numPr>
        <w:tabs>
          <w:tab w:val="num" w:pos="1560"/>
        </w:tabs>
        <w:ind w:right="386" w:firstLine="142"/>
      </w:pPr>
      <w:r w:rsidRPr="002A049F">
        <w:t xml:space="preserve">Swimming – 5p </w:t>
      </w:r>
      <w:r>
        <w:t>(</w:t>
      </w:r>
      <w:r w:rsidRPr="002A049F">
        <w:t>1.1%</w:t>
      </w:r>
      <w:r>
        <w:t>)</w:t>
      </w:r>
    </w:p>
    <w:p w14:paraId="52001AA5" w14:textId="77777777" w:rsidR="00B8025B" w:rsidRPr="002A049F" w:rsidRDefault="00B8025B" w:rsidP="00B8025B">
      <w:pPr>
        <w:numPr>
          <w:ilvl w:val="0"/>
          <w:numId w:val="29"/>
        </w:numPr>
        <w:tabs>
          <w:tab w:val="num" w:pos="1560"/>
        </w:tabs>
        <w:ind w:right="386" w:firstLine="142"/>
      </w:pPr>
      <w:r w:rsidRPr="002A049F">
        <w:t xml:space="preserve">Adult gym – 15p </w:t>
      </w:r>
      <w:r>
        <w:t>(</w:t>
      </w:r>
      <w:r w:rsidRPr="002A049F">
        <w:t>1.9%</w:t>
      </w:r>
      <w:r>
        <w:t>)</w:t>
      </w:r>
    </w:p>
    <w:p w14:paraId="690AFC7D" w14:textId="77777777" w:rsidR="00B8025B" w:rsidRPr="002A049F" w:rsidRDefault="00B8025B" w:rsidP="00B8025B">
      <w:pPr>
        <w:numPr>
          <w:ilvl w:val="0"/>
          <w:numId w:val="29"/>
        </w:numPr>
        <w:tabs>
          <w:tab w:val="num" w:pos="1560"/>
        </w:tabs>
        <w:ind w:right="386" w:firstLine="142"/>
      </w:pPr>
      <w:proofErr w:type="gramStart"/>
      <w:r w:rsidRPr="002A049F">
        <w:t>Skating  -</w:t>
      </w:r>
      <w:proofErr w:type="gramEnd"/>
      <w:r w:rsidRPr="002A049F">
        <w:t xml:space="preserve"> 15p </w:t>
      </w:r>
      <w:r>
        <w:t>(</w:t>
      </w:r>
      <w:r w:rsidRPr="002A049F">
        <w:t>1.88%</w:t>
      </w:r>
      <w:r>
        <w:t>)</w:t>
      </w:r>
    </w:p>
    <w:p w14:paraId="65852B5D" w14:textId="77777777" w:rsidR="00B8025B" w:rsidRPr="002A049F" w:rsidRDefault="00B8025B" w:rsidP="00B8025B">
      <w:pPr>
        <w:numPr>
          <w:ilvl w:val="0"/>
          <w:numId w:val="29"/>
        </w:numPr>
        <w:tabs>
          <w:tab w:val="num" w:pos="1560"/>
        </w:tabs>
        <w:ind w:right="386" w:firstLine="142"/>
      </w:pPr>
      <w:r w:rsidRPr="002A049F">
        <w:t xml:space="preserve">Tennis – reduction £1    </w:t>
      </w:r>
      <w:r>
        <w:t>(</w:t>
      </w:r>
      <w:r w:rsidRPr="002A049F">
        <w:t>14%</w:t>
      </w:r>
      <w:r>
        <w:t>)</w:t>
      </w:r>
    </w:p>
    <w:p w14:paraId="40DD7477" w14:textId="77777777" w:rsidR="00B8025B" w:rsidRPr="002A049F" w:rsidRDefault="00A83682" w:rsidP="00A83682">
      <w:pPr>
        <w:numPr>
          <w:ilvl w:val="2"/>
          <w:numId w:val="10"/>
        </w:numPr>
        <w:tabs>
          <w:tab w:val="num" w:pos="1560"/>
        </w:tabs>
        <w:ind w:left="2127" w:right="386" w:hanging="567"/>
      </w:pPr>
      <w:r>
        <w:t xml:space="preserve">        </w:t>
      </w:r>
      <w:r w:rsidR="00B8025B" w:rsidRPr="002A049F">
        <w:t xml:space="preserve">Pest Control increases range from £5 to £20 more </w:t>
      </w:r>
      <w:r w:rsidR="00B8025B">
        <w:t xml:space="preserve">accurately </w:t>
      </w:r>
      <w:r w:rsidR="00B8025B" w:rsidRPr="002A049F">
        <w:t>reflecti</w:t>
      </w:r>
      <w:r w:rsidR="00B8025B">
        <w:t>ng the</w:t>
      </w:r>
      <w:r w:rsidR="00B8025B" w:rsidRPr="002A049F">
        <w:t xml:space="preserve"> cost of the service</w:t>
      </w:r>
    </w:p>
    <w:p w14:paraId="0AC9BF5E" w14:textId="77777777" w:rsidR="00B8025B" w:rsidRPr="002A049F" w:rsidRDefault="00A83682" w:rsidP="00B8025B">
      <w:pPr>
        <w:numPr>
          <w:ilvl w:val="2"/>
          <w:numId w:val="10"/>
        </w:numPr>
        <w:tabs>
          <w:tab w:val="num" w:pos="1560"/>
        </w:tabs>
        <w:ind w:left="1418" w:right="386" w:firstLine="142"/>
      </w:pPr>
      <w:r>
        <w:t xml:space="preserve">        </w:t>
      </w:r>
      <w:r w:rsidR="00B8025B" w:rsidRPr="002A049F">
        <w:t xml:space="preserve">Cemeteries increases range from </w:t>
      </w:r>
      <w:r w:rsidR="00B8025B">
        <w:t>(</w:t>
      </w:r>
      <w:r w:rsidR="00B8025B" w:rsidRPr="002A049F">
        <w:t>1.0% to 2.0%</w:t>
      </w:r>
      <w:r w:rsidR="00B8025B">
        <w:t>)</w:t>
      </w:r>
      <w:r w:rsidR="00B8025B" w:rsidRPr="002A049F">
        <w:t xml:space="preserve"> - £10 to £20  </w:t>
      </w:r>
    </w:p>
    <w:p w14:paraId="78BF2D38" w14:textId="77777777" w:rsidR="00B8025B" w:rsidRPr="002A049F" w:rsidRDefault="00A83682" w:rsidP="00A83682">
      <w:pPr>
        <w:numPr>
          <w:ilvl w:val="2"/>
          <w:numId w:val="10"/>
        </w:numPr>
        <w:tabs>
          <w:tab w:val="num" w:pos="1560"/>
        </w:tabs>
        <w:ind w:left="1418" w:right="386" w:firstLine="142"/>
      </w:pPr>
      <w:r>
        <w:t xml:space="preserve">        </w:t>
      </w:r>
      <w:r w:rsidR="00B8025B" w:rsidRPr="002A049F">
        <w:t>Off street Car Parking –</w:t>
      </w:r>
      <w:r w:rsidR="00B8025B">
        <w:t xml:space="preserve"> </w:t>
      </w:r>
      <w:r w:rsidR="00B8025B" w:rsidRPr="002A049F">
        <w:t>Most car parks no increase</w:t>
      </w:r>
    </w:p>
    <w:p w14:paraId="5936C6C3" w14:textId="77777777" w:rsidR="00B8025B" w:rsidRPr="002A049F" w:rsidRDefault="00A83682" w:rsidP="00A83682">
      <w:pPr>
        <w:numPr>
          <w:ilvl w:val="2"/>
          <w:numId w:val="10"/>
        </w:numPr>
        <w:tabs>
          <w:tab w:val="num" w:pos="1560"/>
        </w:tabs>
        <w:ind w:left="1418" w:right="386" w:firstLine="142"/>
      </w:pPr>
      <w:r>
        <w:t xml:space="preserve">        </w:t>
      </w:r>
      <w:r w:rsidR="00B8025B" w:rsidRPr="002A049F">
        <w:t xml:space="preserve">Garages - £1 per week (7%). </w:t>
      </w:r>
    </w:p>
    <w:p w14:paraId="257405C7" w14:textId="4ACBACDD" w:rsidR="00B8025B" w:rsidRPr="004A5AEB" w:rsidRDefault="00A83682" w:rsidP="00B1285C">
      <w:pPr>
        <w:numPr>
          <w:ilvl w:val="2"/>
          <w:numId w:val="10"/>
        </w:numPr>
        <w:tabs>
          <w:tab w:val="num" w:pos="1560"/>
        </w:tabs>
        <w:ind w:left="2127" w:right="386" w:hanging="567"/>
      </w:pPr>
      <w:r>
        <w:t xml:space="preserve">         </w:t>
      </w:r>
      <w:r w:rsidR="00B8025B" w:rsidRPr="002A049F">
        <w:t xml:space="preserve">Park and Ride  - </w:t>
      </w:r>
      <w:r w:rsidR="007803C4">
        <w:t>Our projection is that this will increase</w:t>
      </w:r>
      <w:r w:rsidR="007803C4" w:rsidRPr="002A049F">
        <w:t xml:space="preserve"> </w:t>
      </w:r>
      <w:r w:rsidR="00B8025B" w:rsidRPr="002A049F">
        <w:t>from £2 to £3 per day</w:t>
      </w:r>
      <w:r w:rsidR="00A83443">
        <w:t xml:space="preserve"> in 2018-19</w:t>
      </w:r>
      <w:r w:rsidR="007803C4">
        <w:t xml:space="preserve">, but we anticipate any increases to be the </w:t>
      </w:r>
      <w:r w:rsidR="007803C4">
        <w:lastRenderedPageBreak/>
        <w:t>subject of discussion and agreement with Oxfordshire County Council, which also operates Park and Ride car parks in Oxford.</w:t>
      </w:r>
    </w:p>
    <w:p w14:paraId="6F0E5C16" w14:textId="77777777" w:rsidR="00B8025B" w:rsidRPr="002A049F" w:rsidRDefault="00A83682" w:rsidP="00B1285C">
      <w:pPr>
        <w:tabs>
          <w:tab w:val="left" w:pos="1134"/>
        </w:tabs>
        <w:spacing w:after="120"/>
        <w:ind w:left="720" w:right="386"/>
        <w:rPr>
          <w:b/>
          <w:u w:val="single"/>
        </w:rPr>
      </w:pPr>
      <w:r>
        <w:tab/>
      </w:r>
      <w:r w:rsidR="00B8025B" w:rsidRPr="002A049F">
        <w:t xml:space="preserve"> </w:t>
      </w:r>
      <w:proofErr w:type="gramStart"/>
      <w:r w:rsidR="00B8025B" w:rsidRPr="002A049F">
        <w:t>viii</w:t>
      </w:r>
      <w:proofErr w:type="gramEnd"/>
      <w:r w:rsidR="00B8025B" w:rsidRPr="002A049F">
        <w:tab/>
      </w:r>
      <w:r w:rsidR="00B8025B" w:rsidRPr="002A049F">
        <w:rPr>
          <w:b/>
          <w:u w:val="single"/>
        </w:rPr>
        <w:t>Concessions</w:t>
      </w:r>
    </w:p>
    <w:p w14:paraId="14EFAC0F" w14:textId="77777777" w:rsidR="00B8025B" w:rsidRPr="002A049F" w:rsidRDefault="00B8025B" w:rsidP="00B8025B">
      <w:pPr>
        <w:tabs>
          <w:tab w:val="left" w:pos="1418"/>
        </w:tabs>
        <w:spacing w:after="120"/>
        <w:ind w:left="1418" w:right="386"/>
      </w:pPr>
      <w:r w:rsidRPr="002A049F">
        <w:t>The Council gives concessions in the following areas:</w:t>
      </w:r>
    </w:p>
    <w:p w14:paraId="49A87CDD" w14:textId="11C1FEAB" w:rsidR="00B8025B" w:rsidRPr="002A049F" w:rsidRDefault="00B8025B" w:rsidP="00B8025B">
      <w:pPr>
        <w:numPr>
          <w:ilvl w:val="0"/>
          <w:numId w:val="22"/>
        </w:numPr>
        <w:tabs>
          <w:tab w:val="left" w:pos="1418"/>
        </w:tabs>
        <w:spacing w:after="120"/>
        <w:ind w:right="386"/>
      </w:pPr>
      <w:r w:rsidRPr="002A049F">
        <w:t xml:space="preserve">Bonus Concessionary Leisure Card – qualifying benefits </w:t>
      </w:r>
      <w:r>
        <w:t>include</w:t>
      </w:r>
      <w:r w:rsidRPr="002A049F">
        <w:t xml:space="preserve">: </w:t>
      </w:r>
      <w:r w:rsidRPr="002A049F">
        <w:rPr>
          <w:rStyle w:val="Strong"/>
          <w:b w:val="0"/>
        </w:rPr>
        <w:t xml:space="preserve">Job seeker’s allowance, Unemployed / interim payment, Youth training courses / new deal, Income support, Housing benefit, Council Tax </w:t>
      </w:r>
      <w:r>
        <w:rPr>
          <w:rStyle w:val="Strong"/>
          <w:b w:val="0"/>
        </w:rPr>
        <w:t>reduction</w:t>
      </w:r>
      <w:r w:rsidRPr="002A049F">
        <w:rPr>
          <w:rStyle w:val="Strong"/>
          <w:b w:val="0"/>
        </w:rPr>
        <w:t>, Pension credit, Asylum Seeker</w:t>
      </w:r>
      <w:r w:rsidRPr="002A049F">
        <w:rPr>
          <w:b/>
          <w:bCs/>
        </w:rPr>
        <w:t xml:space="preserve">, </w:t>
      </w:r>
      <w:r w:rsidRPr="002A049F">
        <w:rPr>
          <w:rStyle w:val="Strong"/>
          <w:b w:val="0"/>
        </w:rPr>
        <w:t>Invalid Care Allowance</w:t>
      </w:r>
      <w:r w:rsidRPr="002A049F">
        <w:rPr>
          <w:b/>
        </w:rPr>
        <w:t xml:space="preserve">, </w:t>
      </w:r>
      <w:r w:rsidRPr="002A049F">
        <w:rPr>
          <w:rStyle w:val="Strong"/>
          <w:b w:val="0"/>
        </w:rPr>
        <w:t>Employment and Support Allowance</w:t>
      </w:r>
      <w:r w:rsidRPr="002A049F">
        <w:rPr>
          <w:b/>
        </w:rPr>
        <w:t xml:space="preserve">, </w:t>
      </w:r>
      <w:r w:rsidRPr="002A049F">
        <w:rPr>
          <w:rStyle w:val="Strong"/>
          <w:b w:val="0"/>
        </w:rPr>
        <w:t>Attendance Allowance</w:t>
      </w:r>
      <w:r w:rsidRPr="002A049F">
        <w:rPr>
          <w:b/>
        </w:rPr>
        <w:t xml:space="preserve">, </w:t>
      </w:r>
      <w:r w:rsidRPr="002A049F">
        <w:rPr>
          <w:rStyle w:val="Strong"/>
          <w:b w:val="0"/>
        </w:rPr>
        <w:t>Personal Independence Payment (PIP) - Disability Living Allowance</w:t>
      </w:r>
      <w:r w:rsidRPr="002A049F">
        <w:rPr>
          <w:b/>
        </w:rPr>
        <w:t xml:space="preserve">, </w:t>
      </w:r>
      <w:r w:rsidRPr="002A049F">
        <w:rPr>
          <w:rStyle w:val="Strong"/>
          <w:b w:val="0"/>
        </w:rPr>
        <w:t>NHS: AG2, AG3, HC2 or HC3 Certificate holders</w:t>
      </w:r>
      <w:r w:rsidRPr="002A049F">
        <w:rPr>
          <w:b/>
        </w:rPr>
        <w:t xml:space="preserve">, </w:t>
      </w:r>
      <w:r w:rsidRPr="002A049F">
        <w:t>and</w:t>
      </w:r>
      <w:r w:rsidRPr="002A049F">
        <w:rPr>
          <w:b/>
        </w:rPr>
        <w:t xml:space="preserve"> </w:t>
      </w:r>
      <w:r w:rsidRPr="002A049F">
        <w:rPr>
          <w:rStyle w:val="Strong"/>
          <w:b w:val="0"/>
        </w:rPr>
        <w:t>Foster Carers</w:t>
      </w:r>
      <w:r w:rsidR="00A83443">
        <w:rPr>
          <w:rStyle w:val="Strong"/>
          <w:b w:val="0"/>
        </w:rPr>
        <w:t>.</w:t>
      </w:r>
      <w:r w:rsidRPr="002A049F">
        <w:t xml:space="preserve"> </w:t>
      </w:r>
      <w:r w:rsidR="00A83443">
        <w:t>The nature and extent of these concessions are being reviewed, particularly in the light of Universal Credit as part of the leisure Fundamental Service Review</w:t>
      </w:r>
    </w:p>
    <w:p w14:paraId="5FCAF3B7" w14:textId="77777777" w:rsidR="00B8025B" w:rsidRPr="002A049F" w:rsidRDefault="00B8025B" w:rsidP="00B8025B">
      <w:pPr>
        <w:numPr>
          <w:ilvl w:val="0"/>
          <w:numId w:val="22"/>
        </w:numPr>
        <w:tabs>
          <w:tab w:val="left" w:pos="1418"/>
        </w:tabs>
        <w:spacing w:after="120"/>
        <w:ind w:right="386"/>
      </w:pPr>
      <w:r w:rsidRPr="002A049F">
        <w:t>Free Swimming for children under 17 at various sessions during the week</w:t>
      </w:r>
    </w:p>
    <w:p w14:paraId="07F48D9F" w14:textId="77777777" w:rsidR="00B8025B" w:rsidRPr="002A049F" w:rsidRDefault="00B8025B" w:rsidP="00B8025B">
      <w:pPr>
        <w:numPr>
          <w:ilvl w:val="0"/>
          <w:numId w:val="22"/>
        </w:numPr>
        <w:tabs>
          <w:tab w:val="left" w:pos="1418"/>
        </w:tabs>
        <w:spacing w:after="120"/>
        <w:ind w:right="386"/>
      </w:pPr>
      <w:r w:rsidRPr="002A049F">
        <w:t xml:space="preserve">Free one off winter garden clearance for council tenants in receipt of Council </w:t>
      </w:r>
      <w:r>
        <w:t>T</w:t>
      </w:r>
      <w:r w:rsidRPr="002A049F">
        <w:t xml:space="preserve">ax reduction or </w:t>
      </w:r>
      <w:r>
        <w:t>H</w:t>
      </w:r>
      <w:r w:rsidRPr="002A049F">
        <w:t xml:space="preserve">ousing </w:t>
      </w:r>
      <w:r>
        <w:t>B</w:t>
      </w:r>
      <w:r w:rsidRPr="002A049F">
        <w:t>enefit and physically unable to carry out work</w:t>
      </w:r>
    </w:p>
    <w:p w14:paraId="4BE9D3F1" w14:textId="77777777" w:rsidR="00B8025B" w:rsidRPr="002A049F" w:rsidRDefault="00B8025B" w:rsidP="00B8025B">
      <w:pPr>
        <w:numPr>
          <w:ilvl w:val="0"/>
          <w:numId w:val="22"/>
        </w:numPr>
        <w:tabs>
          <w:tab w:val="left" w:pos="1418"/>
        </w:tabs>
        <w:spacing w:after="120"/>
        <w:ind w:right="386"/>
      </w:pPr>
      <w:r w:rsidRPr="002A049F">
        <w:t>A range of pest control visits for mice, rats, wasps, ants, moths, fleas, squirrels and other pests where the customer is in receipt of Housing Benefit</w:t>
      </w:r>
    </w:p>
    <w:p w14:paraId="6474B3D1" w14:textId="77777777" w:rsidR="00B8025B" w:rsidRPr="002A049F" w:rsidRDefault="00B8025B" w:rsidP="00B8025B">
      <w:pPr>
        <w:numPr>
          <w:ilvl w:val="0"/>
          <w:numId w:val="22"/>
        </w:numPr>
        <w:tabs>
          <w:tab w:val="left" w:pos="1418"/>
        </w:tabs>
        <w:spacing w:after="120"/>
        <w:ind w:right="386"/>
      </w:pPr>
      <w:r w:rsidRPr="002A049F">
        <w:t>Garden waste collection where customer is in receipt of benefit</w:t>
      </w:r>
    </w:p>
    <w:p w14:paraId="6C234F03" w14:textId="096D560E" w:rsidR="00B8025B" w:rsidRPr="002C2483" w:rsidRDefault="006A42B3" w:rsidP="00B8025B">
      <w:pPr>
        <w:spacing w:after="120"/>
        <w:ind w:left="1134" w:right="386" w:hanging="567"/>
        <w:rPr>
          <w:highlight w:val="yellow"/>
        </w:rPr>
      </w:pPr>
      <w:proofErr w:type="spellStart"/>
      <w:r>
        <w:t>i</w:t>
      </w:r>
      <w:proofErr w:type="spellEnd"/>
      <w:r w:rsidR="00B8025B" w:rsidRPr="006865BB">
        <w:t>)</w:t>
      </w:r>
      <w:r w:rsidR="00B8025B" w:rsidRPr="006865BB">
        <w:rPr>
          <w:b/>
        </w:rPr>
        <w:t xml:space="preserve">      Trad</w:t>
      </w:r>
      <w:r w:rsidR="00B8025B">
        <w:rPr>
          <w:b/>
        </w:rPr>
        <w:t>ed</w:t>
      </w:r>
      <w:r w:rsidR="00B8025B" w:rsidRPr="006865BB">
        <w:rPr>
          <w:b/>
        </w:rPr>
        <w:t xml:space="preserve"> Income – </w:t>
      </w:r>
      <w:r w:rsidR="00B8025B" w:rsidRPr="006865BB">
        <w:t xml:space="preserve">To support the base budget the Council incorporates income earned from external trading activity. The following table shows the estimated value of sales and </w:t>
      </w:r>
      <w:r w:rsidR="00B8025B">
        <w:t xml:space="preserve">income </w:t>
      </w:r>
      <w:r w:rsidR="00B8025B" w:rsidRPr="006865BB">
        <w:t xml:space="preserve">assumed within the MTFP.  </w:t>
      </w:r>
    </w:p>
    <w:p w14:paraId="219B0A1F" w14:textId="77777777" w:rsidR="00DA6F18" w:rsidRPr="002C2483" w:rsidRDefault="00DA6F18" w:rsidP="00DA6F18">
      <w:pPr>
        <w:spacing w:after="120"/>
        <w:ind w:left="2127" w:right="386"/>
        <w:rPr>
          <w:b/>
          <w:highlight w:val="yellow"/>
        </w:rPr>
      </w:pPr>
    </w:p>
    <w:tbl>
      <w:tblPr>
        <w:tblW w:w="10633" w:type="dxa"/>
        <w:tblInd w:w="-460" w:type="dxa"/>
        <w:tblLook w:val="04A0" w:firstRow="1" w:lastRow="0" w:firstColumn="1" w:lastColumn="0" w:noHBand="0" w:noVBand="1"/>
      </w:tblPr>
      <w:tblGrid>
        <w:gridCol w:w="3970"/>
        <w:gridCol w:w="1660"/>
        <w:gridCol w:w="1880"/>
        <w:gridCol w:w="1422"/>
        <w:gridCol w:w="1701"/>
      </w:tblGrid>
      <w:tr w:rsidR="00A37818" w:rsidRPr="002C2483" w14:paraId="5E2130B7" w14:textId="77777777" w:rsidTr="00037D09">
        <w:trPr>
          <w:trHeight w:val="300"/>
        </w:trPr>
        <w:tc>
          <w:tcPr>
            <w:tcW w:w="10633" w:type="dxa"/>
            <w:gridSpan w:val="5"/>
            <w:tcBorders>
              <w:top w:val="single" w:sz="4" w:space="0" w:color="auto"/>
              <w:left w:val="single" w:sz="4" w:space="0" w:color="auto"/>
              <w:bottom w:val="nil"/>
              <w:right w:val="single" w:sz="4" w:space="0" w:color="auto"/>
            </w:tcBorders>
            <w:shd w:val="clear" w:color="auto" w:fill="auto"/>
            <w:vAlign w:val="center"/>
            <w:hideMark/>
          </w:tcPr>
          <w:p w14:paraId="53E00D9E" w14:textId="77777777" w:rsidR="00A37818" w:rsidRPr="007B4A0D" w:rsidRDefault="0010427B" w:rsidP="00A37818">
            <w:pPr>
              <w:ind w:right="-709"/>
              <w:rPr>
                <w:rFonts w:cs="Arial"/>
                <w:b/>
                <w:color w:val="000000"/>
                <w:lang w:eastAsia="en-GB"/>
              </w:rPr>
            </w:pPr>
            <w:r w:rsidRPr="007B4A0D">
              <w:rPr>
                <w:rFonts w:cs="Arial"/>
                <w:b/>
                <w:color w:val="000000"/>
                <w:lang w:eastAsia="en-GB"/>
              </w:rPr>
              <w:t>Table 6</w:t>
            </w:r>
            <w:r w:rsidR="00A37818" w:rsidRPr="007B4A0D">
              <w:rPr>
                <w:rFonts w:cs="Arial"/>
                <w:b/>
                <w:color w:val="000000"/>
                <w:lang w:eastAsia="en-GB"/>
              </w:rPr>
              <w:t xml:space="preserve"> : </w:t>
            </w:r>
            <w:r w:rsidR="002F134D" w:rsidRPr="007B4A0D">
              <w:rPr>
                <w:rFonts w:cs="Arial"/>
                <w:b/>
                <w:color w:val="000000"/>
                <w:lang w:eastAsia="en-GB"/>
              </w:rPr>
              <w:t xml:space="preserve">External </w:t>
            </w:r>
            <w:r w:rsidR="00A37818" w:rsidRPr="007B4A0D">
              <w:rPr>
                <w:rFonts w:cs="Arial"/>
                <w:b/>
                <w:color w:val="000000"/>
                <w:lang w:eastAsia="en-GB"/>
              </w:rPr>
              <w:t>Trading Sales and contribution</w:t>
            </w:r>
          </w:p>
          <w:p w14:paraId="557755BE" w14:textId="77777777" w:rsidR="00A37818" w:rsidRPr="007B4A0D" w:rsidRDefault="00A37818" w:rsidP="00A37818">
            <w:pPr>
              <w:ind w:right="-709"/>
              <w:rPr>
                <w:rFonts w:ascii="Calibri" w:hAnsi="Calibri" w:cs="Calibri"/>
                <w:b/>
                <w:color w:val="000000"/>
                <w:sz w:val="22"/>
                <w:szCs w:val="22"/>
                <w:lang w:eastAsia="en-GB"/>
              </w:rPr>
            </w:pPr>
            <w:r w:rsidRPr="007B4A0D">
              <w:rPr>
                <w:rFonts w:ascii="Calibri" w:hAnsi="Calibri" w:cs="Calibri"/>
                <w:b/>
                <w:color w:val="000000"/>
                <w:sz w:val="22"/>
                <w:szCs w:val="22"/>
                <w:lang w:eastAsia="en-GB"/>
              </w:rPr>
              <w:t> </w:t>
            </w:r>
          </w:p>
        </w:tc>
      </w:tr>
      <w:tr w:rsidR="00A17A6E" w:rsidRPr="002C2483" w14:paraId="339E2257" w14:textId="77777777" w:rsidTr="00A37818">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6BC64" w14:textId="77777777" w:rsidR="00A17A6E" w:rsidRPr="007B4A0D" w:rsidRDefault="00A17A6E" w:rsidP="00A17A6E">
            <w:pPr>
              <w:rPr>
                <w:rFonts w:cs="Arial"/>
                <w:color w:val="000000"/>
                <w:lang w:eastAsia="en-GB"/>
              </w:rPr>
            </w:pPr>
            <w:r w:rsidRPr="007B4A0D">
              <w:rPr>
                <w:rFonts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2C860EFD" w14:textId="77777777" w:rsidR="00A17A6E" w:rsidRPr="007B4A0D" w:rsidRDefault="00A17A6E" w:rsidP="002A049F">
            <w:pPr>
              <w:jc w:val="center"/>
              <w:rPr>
                <w:rFonts w:cs="Arial"/>
                <w:b/>
                <w:color w:val="000000"/>
                <w:lang w:eastAsia="en-GB"/>
              </w:rPr>
            </w:pPr>
            <w:r w:rsidRPr="007B4A0D">
              <w:rPr>
                <w:rFonts w:cs="Arial"/>
                <w:b/>
                <w:color w:val="000000"/>
                <w:lang w:eastAsia="en-GB"/>
              </w:rPr>
              <w:t>201</w:t>
            </w:r>
            <w:r w:rsidR="002A049F" w:rsidRPr="007B4A0D">
              <w:rPr>
                <w:rFonts w:cs="Arial"/>
                <w:b/>
                <w:color w:val="000000"/>
                <w:lang w:eastAsia="en-GB"/>
              </w:rPr>
              <w:t>7</w:t>
            </w:r>
            <w:r w:rsidRPr="007B4A0D">
              <w:rPr>
                <w:rFonts w:cs="Arial"/>
                <w:b/>
                <w:color w:val="000000"/>
                <w:lang w:eastAsia="en-GB"/>
              </w:rPr>
              <w:t>-1</w:t>
            </w:r>
            <w:r w:rsidR="002A049F" w:rsidRPr="007B4A0D">
              <w:rPr>
                <w:rFonts w:cs="Arial"/>
                <w:b/>
                <w:color w:val="000000"/>
                <w:lang w:eastAsia="en-GB"/>
              </w:rPr>
              <w:t>8</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2DF9BE67" w14:textId="77777777" w:rsidR="00A17A6E" w:rsidRPr="007B4A0D" w:rsidRDefault="00A17A6E" w:rsidP="002A049F">
            <w:pPr>
              <w:jc w:val="center"/>
              <w:rPr>
                <w:rFonts w:cs="Arial"/>
                <w:b/>
                <w:color w:val="000000"/>
                <w:lang w:eastAsia="en-GB"/>
              </w:rPr>
            </w:pPr>
            <w:r w:rsidRPr="007B4A0D">
              <w:rPr>
                <w:rFonts w:cs="Arial"/>
                <w:b/>
                <w:color w:val="000000"/>
                <w:lang w:eastAsia="en-GB"/>
              </w:rPr>
              <w:t>201</w:t>
            </w:r>
            <w:r w:rsidR="002A049F" w:rsidRPr="007B4A0D">
              <w:rPr>
                <w:rFonts w:cs="Arial"/>
                <w:b/>
                <w:color w:val="000000"/>
                <w:lang w:eastAsia="en-GB"/>
              </w:rPr>
              <w:t>8</w:t>
            </w:r>
            <w:r w:rsidRPr="007B4A0D">
              <w:rPr>
                <w:rFonts w:cs="Arial"/>
                <w:b/>
                <w:color w:val="000000"/>
                <w:lang w:eastAsia="en-GB"/>
              </w:rPr>
              <w:t>-1</w:t>
            </w:r>
            <w:r w:rsidR="002A049F" w:rsidRPr="007B4A0D">
              <w:rPr>
                <w:rFonts w:cs="Arial"/>
                <w:b/>
                <w:color w:val="000000"/>
                <w:lang w:eastAsia="en-GB"/>
              </w:rPr>
              <w:t>9</w:t>
            </w:r>
          </w:p>
        </w:tc>
        <w:tc>
          <w:tcPr>
            <w:tcW w:w="1422" w:type="dxa"/>
            <w:tcBorders>
              <w:top w:val="single" w:sz="4" w:space="0" w:color="auto"/>
              <w:left w:val="nil"/>
              <w:bottom w:val="single" w:sz="4" w:space="0" w:color="auto"/>
              <w:right w:val="single" w:sz="4" w:space="0" w:color="auto"/>
            </w:tcBorders>
            <w:shd w:val="clear" w:color="000000" w:fill="D9D9D9"/>
            <w:vAlign w:val="center"/>
            <w:hideMark/>
          </w:tcPr>
          <w:p w14:paraId="610A3BA0" w14:textId="77777777" w:rsidR="00A17A6E" w:rsidRPr="007B4A0D" w:rsidRDefault="00A17A6E" w:rsidP="002A049F">
            <w:pPr>
              <w:jc w:val="center"/>
              <w:rPr>
                <w:rFonts w:cs="Arial"/>
                <w:b/>
                <w:color w:val="000000"/>
                <w:lang w:eastAsia="en-GB"/>
              </w:rPr>
            </w:pPr>
            <w:r w:rsidRPr="007B4A0D">
              <w:rPr>
                <w:rFonts w:cs="Arial"/>
                <w:b/>
                <w:color w:val="000000"/>
                <w:lang w:eastAsia="en-GB"/>
              </w:rPr>
              <w:t>201</w:t>
            </w:r>
            <w:r w:rsidR="002A049F" w:rsidRPr="007B4A0D">
              <w:rPr>
                <w:rFonts w:cs="Arial"/>
                <w:b/>
                <w:color w:val="000000"/>
                <w:lang w:eastAsia="en-GB"/>
              </w:rPr>
              <w:t>9</w:t>
            </w:r>
            <w:r w:rsidRPr="007B4A0D">
              <w:rPr>
                <w:rFonts w:cs="Arial"/>
                <w:b/>
                <w:color w:val="000000"/>
                <w:lang w:eastAsia="en-GB"/>
              </w:rPr>
              <w:t>-</w:t>
            </w:r>
            <w:r w:rsidR="002A049F" w:rsidRPr="007B4A0D">
              <w:rPr>
                <w:rFonts w:cs="Arial"/>
                <w:b/>
                <w:color w:val="000000"/>
                <w:lang w:eastAsia="en-GB"/>
              </w:rPr>
              <w:t>20</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09E4A88" w14:textId="77777777" w:rsidR="00A17A6E" w:rsidRPr="007B4A0D" w:rsidRDefault="00A17A6E" w:rsidP="002A049F">
            <w:pPr>
              <w:jc w:val="center"/>
              <w:rPr>
                <w:rFonts w:cs="Arial"/>
                <w:b/>
                <w:color w:val="000000"/>
                <w:lang w:eastAsia="en-GB"/>
              </w:rPr>
            </w:pPr>
            <w:r w:rsidRPr="007B4A0D">
              <w:rPr>
                <w:rFonts w:cs="Arial"/>
                <w:b/>
                <w:color w:val="000000"/>
                <w:lang w:eastAsia="en-GB"/>
              </w:rPr>
              <w:t>20</w:t>
            </w:r>
            <w:r w:rsidR="002A049F" w:rsidRPr="007B4A0D">
              <w:rPr>
                <w:rFonts w:cs="Arial"/>
                <w:b/>
                <w:color w:val="000000"/>
                <w:lang w:eastAsia="en-GB"/>
              </w:rPr>
              <w:t>20</w:t>
            </w:r>
            <w:r w:rsidRPr="007B4A0D">
              <w:rPr>
                <w:rFonts w:cs="Arial"/>
                <w:b/>
                <w:color w:val="000000"/>
                <w:lang w:eastAsia="en-GB"/>
              </w:rPr>
              <w:t>/2</w:t>
            </w:r>
            <w:r w:rsidR="002A049F" w:rsidRPr="007B4A0D">
              <w:rPr>
                <w:rFonts w:cs="Arial"/>
                <w:b/>
                <w:color w:val="000000"/>
                <w:lang w:eastAsia="en-GB"/>
              </w:rPr>
              <w:t>1</w:t>
            </w:r>
          </w:p>
        </w:tc>
      </w:tr>
      <w:tr w:rsidR="00A17A6E" w:rsidRPr="002C2483" w14:paraId="45451DE7" w14:textId="77777777" w:rsidTr="00A37818">
        <w:trPr>
          <w:trHeight w:val="312"/>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49842C3" w14:textId="77777777" w:rsidR="00A17A6E" w:rsidRPr="007B4A0D" w:rsidRDefault="00A17A6E" w:rsidP="00A17A6E">
            <w:pPr>
              <w:rPr>
                <w:rFonts w:cs="Arial"/>
                <w:b/>
                <w:bCs/>
                <w:color w:val="000000"/>
                <w:lang w:eastAsia="en-GB"/>
              </w:rPr>
            </w:pPr>
            <w:r w:rsidRPr="007B4A0D">
              <w:rPr>
                <w:rFonts w:cs="Arial"/>
                <w:b/>
                <w:bCs/>
                <w:color w:val="000000"/>
                <w:lang w:eastAsia="en-GB"/>
              </w:rPr>
              <w:t>Turnover</w:t>
            </w:r>
          </w:p>
        </w:tc>
        <w:tc>
          <w:tcPr>
            <w:tcW w:w="1660" w:type="dxa"/>
            <w:tcBorders>
              <w:top w:val="nil"/>
              <w:left w:val="nil"/>
              <w:bottom w:val="single" w:sz="4" w:space="0" w:color="auto"/>
              <w:right w:val="single" w:sz="4" w:space="0" w:color="auto"/>
            </w:tcBorders>
            <w:shd w:val="clear" w:color="000000" w:fill="D9D9D9"/>
            <w:vAlign w:val="center"/>
            <w:hideMark/>
          </w:tcPr>
          <w:p w14:paraId="704626E7" w14:textId="77777777" w:rsidR="00A17A6E" w:rsidRPr="007B4A0D" w:rsidRDefault="00A17A6E" w:rsidP="00A17A6E">
            <w:pPr>
              <w:jc w:val="center"/>
              <w:rPr>
                <w:rFonts w:cs="Arial"/>
                <w:b/>
                <w:color w:val="000000"/>
                <w:lang w:eastAsia="en-GB"/>
              </w:rPr>
            </w:pPr>
            <w:r w:rsidRPr="007B4A0D">
              <w:rPr>
                <w:rFonts w:cs="Arial"/>
                <w:b/>
                <w:color w:val="000000"/>
                <w:lang w:eastAsia="en-GB"/>
              </w:rPr>
              <w:t>£000’s</w:t>
            </w:r>
          </w:p>
        </w:tc>
        <w:tc>
          <w:tcPr>
            <w:tcW w:w="1880" w:type="dxa"/>
            <w:tcBorders>
              <w:top w:val="nil"/>
              <w:left w:val="nil"/>
              <w:bottom w:val="single" w:sz="4" w:space="0" w:color="auto"/>
              <w:right w:val="single" w:sz="4" w:space="0" w:color="auto"/>
            </w:tcBorders>
            <w:shd w:val="clear" w:color="000000" w:fill="D9D9D9"/>
            <w:vAlign w:val="center"/>
            <w:hideMark/>
          </w:tcPr>
          <w:p w14:paraId="4E4F539E" w14:textId="77777777" w:rsidR="00A17A6E" w:rsidRPr="007B4A0D" w:rsidRDefault="00A17A6E" w:rsidP="00A17A6E">
            <w:pPr>
              <w:jc w:val="center"/>
              <w:rPr>
                <w:rFonts w:cs="Arial"/>
                <w:b/>
                <w:color w:val="000000"/>
                <w:lang w:eastAsia="en-GB"/>
              </w:rPr>
            </w:pPr>
            <w:r w:rsidRPr="007B4A0D">
              <w:rPr>
                <w:rFonts w:cs="Arial"/>
                <w:b/>
                <w:color w:val="000000"/>
                <w:lang w:eastAsia="en-GB"/>
              </w:rPr>
              <w:t>£000’s</w:t>
            </w:r>
          </w:p>
        </w:tc>
        <w:tc>
          <w:tcPr>
            <w:tcW w:w="1422" w:type="dxa"/>
            <w:tcBorders>
              <w:top w:val="nil"/>
              <w:left w:val="nil"/>
              <w:bottom w:val="single" w:sz="4" w:space="0" w:color="auto"/>
              <w:right w:val="single" w:sz="4" w:space="0" w:color="auto"/>
            </w:tcBorders>
            <w:shd w:val="clear" w:color="000000" w:fill="D9D9D9"/>
            <w:vAlign w:val="center"/>
            <w:hideMark/>
          </w:tcPr>
          <w:p w14:paraId="5447BD39" w14:textId="77777777" w:rsidR="00A17A6E" w:rsidRPr="007B4A0D" w:rsidRDefault="00A17A6E" w:rsidP="00A17A6E">
            <w:pPr>
              <w:jc w:val="center"/>
              <w:rPr>
                <w:rFonts w:cs="Arial"/>
                <w:b/>
                <w:color w:val="000000"/>
                <w:lang w:eastAsia="en-GB"/>
              </w:rPr>
            </w:pPr>
            <w:r w:rsidRPr="007B4A0D">
              <w:rPr>
                <w:rFonts w:cs="Arial"/>
                <w:b/>
                <w:color w:val="000000"/>
                <w:lang w:eastAsia="en-GB"/>
              </w:rPr>
              <w:t>£000’s</w:t>
            </w:r>
          </w:p>
        </w:tc>
        <w:tc>
          <w:tcPr>
            <w:tcW w:w="1701" w:type="dxa"/>
            <w:tcBorders>
              <w:top w:val="nil"/>
              <w:left w:val="nil"/>
              <w:bottom w:val="single" w:sz="4" w:space="0" w:color="auto"/>
              <w:right w:val="single" w:sz="4" w:space="0" w:color="auto"/>
            </w:tcBorders>
            <w:shd w:val="clear" w:color="000000" w:fill="D9D9D9"/>
            <w:vAlign w:val="center"/>
            <w:hideMark/>
          </w:tcPr>
          <w:p w14:paraId="5F3311F7" w14:textId="77777777" w:rsidR="00A17A6E" w:rsidRPr="007B4A0D" w:rsidRDefault="00A17A6E" w:rsidP="00A17A6E">
            <w:pPr>
              <w:jc w:val="center"/>
              <w:rPr>
                <w:rFonts w:cs="Arial"/>
                <w:b/>
                <w:color w:val="000000"/>
                <w:lang w:eastAsia="en-GB"/>
              </w:rPr>
            </w:pPr>
            <w:r w:rsidRPr="007B4A0D">
              <w:rPr>
                <w:rFonts w:cs="Arial"/>
                <w:b/>
                <w:color w:val="000000"/>
                <w:lang w:eastAsia="en-GB"/>
              </w:rPr>
              <w:t>£000’s</w:t>
            </w:r>
          </w:p>
        </w:tc>
      </w:tr>
      <w:tr w:rsidR="007B4A0D" w:rsidRPr="002C2483" w14:paraId="68EB6F6E" w14:textId="77777777" w:rsidTr="00A37818">
        <w:trPr>
          <w:trHeight w:val="37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798F359" w14:textId="77777777" w:rsidR="007B4A0D" w:rsidRPr="007B4A0D" w:rsidRDefault="007B4A0D" w:rsidP="00A17A6E">
            <w:pPr>
              <w:rPr>
                <w:rFonts w:cs="Arial"/>
                <w:color w:val="000000"/>
                <w:lang w:eastAsia="en-GB"/>
              </w:rPr>
            </w:pPr>
            <w:r w:rsidRPr="007B4A0D">
              <w:rPr>
                <w:rFonts w:cs="Arial"/>
                <w:color w:val="000000"/>
                <w:lang w:eastAsia="en-GB"/>
              </w:rPr>
              <w:t xml:space="preserve">Engineering </w:t>
            </w:r>
          </w:p>
        </w:tc>
        <w:tc>
          <w:tcPr>
            <w:tcW w:w="1660" w:type="dxa"/>
            <w:tcBorders>
              <w:top w:val="nil"/>
              <w:left w:val="nil"/>
              <w:bottom w:val="single" w:sz="4" w:space="0" w:color="auto"/>
              <w:right w:val="single" w:sz="4" w:space="0" w:color="auto"/>
            </w:tcBorders>
            <w:shd w:val="clear" w:color="auto" w:fill="auto"/>
            <w:vAlign w:val="center"/>
            <w:hideMark/>
          </w:tcPr>
          <w:p w14:paraId="11BC5B4D" w14:textId="77777777" w:rsidR="007B4A0D" w:rsidRPr="003733CD" w:rsidRDefault="007B4A0D">
            <w:pPr>
              <w:jc w:val="center"/>
              <w:rPr>
                <w:rFonts w:eastAsia="Calibri" w:cs="Arial"/>
                <w:color w:val="000000"/>
                <w:lang w:eastAsia="en-GB"/>
              </w:rPr>
            </w:pPr>
            <w:r w:rsidRPr="007B4A0D">
              <w:rPr>
                <w:color w:val="000000"/>
                <w:lang w:eastAsia="en-GB"/>
              </w:rPr>
              <w:t>1,714</w:t>
            </w:r>
          </w:p>
        </w:tc>
        <w:tc>
          <w:tcPr>
            <w:tcW w:w="1880" w:type="dxa"/>
            <w:tcBorders>
              <w:top w:val="nil"/>
              <w:left w:val="nil"/>
              <w:bottom w:val="single" w:sz="4" w:space="0" w:color="auto"/>
              <w:right w:val="single" w:sz="4" w:space="0" w:color="auto"/>
            </w:tcBorders>
            <w:shd w:val="clear" w:color="auto" w:fill="auto"/>
            <w:vAlign w:val="center"/>
            <w:hideMark/>
          </w:tcPr>
          <w:p w14:paraId="020754C5" w14:textId="77777777" w:rsidR="007B4A0D" w:rsidRPr="003733CD" w:rsidRDefault="007B4A0D">
            <w:pPr>
              <w:jc w:val="center"/>
              <w:rPr>
                <w:rFonts w:eastAsia="Calibri" w:cs="Arial"/>
                <w:color w:val="000000"/>
                <w:lang w:eastAsia="en-GB"/>
              </w:rPr>
            </w:pPr>
            <w:r w:rsidRPr="007B4A0D">
              <w:rPr>
                <w:color w:val="000000"/>
                <w:lang w:eastAsia="en-GB"/>
              </w:rPr>
              <w:t>3,531</w:t>
            </w:r>
          </w:p>
        </w:tc>
        <w:tc>
          <w:tcPr>
            <w:tcW w:w="1422" w:type="dxa"/>
            <w:tcBorders>
              <w:top w:val="nil"/>
              <w:left w:val="nil"/>
              <w:bottom w:val="single" w:sz="4" w:space="0" w:color="auto"/>
              <w:right w:val="single" w:sz="4" w:space="0" w:color="auto"/>
            </w:tcBorders>
            <w:shd w:val="clear" w:color="auto" w:fill="auto"/>
            <w:vAlign w:val="center"/>
            <w:hideMark/>
          </w:tcPr>
          <w:p w14:paraId="6E4BBB17" w14:textId="77777777" w:rsidR="007B4A0D" w:rsidRPr="003733CD" w:rsidRDefault="007B4A0D">
            <w:pPr>
              <w:jc w:val="center"/>
              <w:rPr>
                <w:rFonts w:eastAsia="Calibri" w:cs="Arial"/>
                <w:color w:val="000000"/>
                <w:lang w:eastAsia="en-GB"/>
              </w:rPr>
            </w:pPr>
            <w:r w:rsidRPr="007B4A0D">
              <w:rPr>
                <w:color w:val="000000"/>
                <w:lang w:eastAsia="en-GB"/>
              </w:rPr>
              <w:t>3,796</w:t>
            </w:r>
          </w:p>
        </w:tc>
        <w:tc>
          <w:tcPr>
            <w:tcW w:w="1701" w:type="dxa"/>
            <w:tcBorders>
              <w:top w:val="nil"/>
              <w:left w:val="nil"/>
              <w:bottom w:val="single" w:sz="4" w:space="0" w:color="auto"/>
              <w:right w:val="single" w:sz="4" w:space="0" w:color="auto"/>
            </w:tcBorders>
            <w:shd w:val="clear" w:color="auto" w:fill="auto"/>
            <w:vAlign w:val="center"/>
            <w:hideMark/>
          </w:tcPr>
          <w:p w14:paraId="6A556408" w14:textId="77777777" w:rsidR="007B4A0D" w:rsidRPr="003733CD" w:rsidRDefault="007B4A0D">
            <w:pPr>
              <w:jc w:val="center"/>
              <w:rPr>
                <w:rFonts w:eastAsia="Calibri" w:cs="Arial"/>
                <w:color w:val="000000"/>
                <w:lang w:eastAsia="en-GB"/>
              </w:rPr>
            </w:pPr>
            <w:r w:rsidRPr="007B4A0D">
              <w:rPr>
                <w:color w:val="000000"/>
                <w:lang w:eastAsia="en-GB"/>
              </w:rPr>
              <w:t>3,796</w:t>
            </w:r>
          </w:p>
        </w:tc>
      </w:tr>
      <w:tr w:rsidR="007B4A0D" w:rsidRPr="002C2483" w14:paraId="5C8BA91E" w14:textId="77777777" w:rsidTr="00A37818">
        <w:trPr>
          <w:trHeight w:val="37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B1EB7B6" w14:textId="77777777" w:rsidR="007B4A0D" w:rsidRPr="007B4A0D" w:rsidRDefault="007B4A0D" w:rsidP="00A17A6E">
            <w:pPr>
              <w:rPr>
                <w:rFonts w:cs="Arial"/>
                <w:color w:val="000000"/>
                <w:lang w:eastAsia="en-GB"/>
              </w:rPr>
            </w:pPr>
            <w:r w:rsidRPr="007B4A0D">
              <w:rPr>
                <w:rFonts w:cs="Arial"/>
                <w:color w:val="000000"/>
                <w:lang w:eastAsia="en-GB"/>
              </w:rPr>
              <w:t>Building Works</w:t>
            </w:r>
          </w:p>
        </w:tc>
        <w:tc>
          <w:tcPr>
            <w:tcW w:w="1660" w:type="dxa"/>
            <w:tcBorders>
              <w:top w:val="nil"/>
              <w:left w:val="nil"/>
              <w:bottom w:val="single" w:sz="4" w:space="0" w:color="auto"/>
              <w:right w:val="single" w:sz="4" w:space="0" w:color="auto"/>
            </w:tcBorders>
            <w:shd w:val="clear" w:color="auto" w:fill="auto"/>
            <w:vAlign w:val="center"/>
            <w:hideMark/>
          </w:tcPr>
          <w:p w14:paraId="547A9868" w14:textId="77777777" w:rsidR="007B4A0D" w:rsidRPr="003733CD" w:rsidRDefault="007B4A0D">
            <w:pPr>
              <w:jc w:val="center"/>
              <w:rPr>
                <w:rFonts w:eastAsia="Calibri" w:cs="Arial"/>
                <w:color w:val="000000"/>
                <w:lang w:eastAsia="en-GB"/>
              </w:rPr>
            </w:pPr>
            <w:r w:rsidRPr="007B4A0D">
              <w:rPr>
                <w:color w:val="000000"/>
                <w:lang w:eastAsia="en-GB"/>
              </w:rPr>
              <w:t>1,504</w:t>
            </w:r>
          </w:p>
        </w:tc>
        <w:tc>
          <w:tcPr>
            <w:tcW w:w="1880" w:type="dxa"/>
            <w:tcBorders>
              <w:top w:val="nil"/>
              <w:left w:val="nil"/>
              <w:bottom w:val="single" w:sz="4" w:space="0" w:color="auto"/>
              <w:right w:val="single" w:sz="4" w:space="0" w:color="auto"/>
            </w:tcBorders>
            <w:shd w:val="clear" w:color="auto" w:fill="auto"/>
            <w:vAlign w:val="center"/>
            <w:hideMark/>
          </w:tcPr>
          <w:p w14:paraId="7E35BF12" w14:textId="77777777" w:rsidR="007B4A0D" w:rsidRPr="003733CD" w:rsidRDefault="007B4A0D">
            <w:pPr>
              <w:jc w:val="center"/>
              <w:rPr>
                <w:rFonts w:eastAsia="Calibri" w:cs="Arial"/>
                <w:color w:val="000000"/>
                <w:lang w:eastAsia="en-GB"/>
              </w:rPr>
            </w:pPr>
            <w:r w:rsidRPr="007B4A0D">
              <w:rPr>
                <w:color w:val="000000"/>
                <w:lang w:eastAsia="en-GB"/>
              </w:rPr>
              <w:t>2,373</w:t>
            </w:r>
          </w:p>
        </w:tc>
        <w:tc>
          <w:tcPr>
            <w:tcW w:w="1422" w:type="dxa"/>
            <w:tcBorders>
              <w:top w:val="nil"/>
              <w:left w:val="nil"/>
              <w:bottom w:val="single" w:sz="4" w:space="0" w:color="auto"/>
              <w:right w:val="single" w:sz="4" w:space="0" w:color="auto"/>
            </w:tcBorders>
            <w:shd w:val="clear" w:color="auto" w:fill="auto"/>
            <w:vAlign w:val="center"/>
            <w:hideMark/>
          </w:tcPr>
          <w:p w14:paraId="6EF007F4" w14:textId="77777777" w:rsidR="007B4A0D" w:rsidRPr="003733CD" w:rsidRDefault="007B4A0D">
            <w:pPr>
              <w:jc w:val="center"/>
              <w:rPr>
                <w:rFonts w:eastAsia="Calibri" w:cs="Arial"/>
                <w:color w:val="000000"/>
                <w:lang w:eastAsia="en-GB"/>
              </w:rPr>
            </w:pPr>
            <w:r w:rsidRPr="007B4A0D">
              <w:rPr>
                <w:color w:val="000000"/>
                <w:lang w:eastAsia="en-GB"/>
              </w:rPr>
              <w:t>1,964</w:t>
            </w:r>
          </w:p>
        </w:tc>
        <w:tc>
          <w:tcPr>
            <w:tcW w:w="1701" w:type="dxa"/>
            <w:tcBorders>
              <w:top w:val="nil"/>
              <w:left w:val="nil"/>
              <w:bottom w:val="single" w:sz="4" w:space="0" w:color="auto"/>
              <w:right w:val="single" w:sz="4" w:space="0" w:color="auto"/>
            </w:tcBorders>
            <w:shd w:val="clear" w:color="auto" w:fill="auto"/>
            <w:vAlign w:val="center"/>
            <w:hideMark/>
          </w:tcPr>
          <w:p w14:paraId="096E0392" w14:textId="77777777" w:rsidR="007B4A0D" w:rsidRPr="003733CD" w:rsidRDefault="007B4A0D">
            <w:pPr>
              <w:jc w:val="center"/>
              <w:rPr>
                <w:rFonts w:eastAsia="Calibri" w:cs="Arial"/>
                <w:color w:val="000000"/>
                <w:lang w:eastAsia="en-GB"/>
              </w:rPr>
            </w:pPr>
            <w:r w:rsidRPr="007B4A0D">
              <w:rPr>
                <w:color w:val="000000"/>
                <w:lang w:eastAsia="en-GB"/>
              </w:rPr>
              <w:t>1,964</w:t>
            </w:r>
          </w:p>
        </w:tc>
      </w:tr>
      <w:tr w:rsidR="007B4A0D" w:rsidRPr="002C2483" w14:paraId="1D1A5366" w14:textId="77777777" w:rsidTr="00A37818">
        <w:trPr>
          <w:trHeight w:val="37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4E3BCC3" w14:textId="77777777" w:rsidR="007B4A0D" w:rsidRPr="007B4A0D" w:rsidRDefault="007B4A0D" w:rsidP="00A17A6E">
            <w:pPr>
              <w:rPr>
                <w:rFonts w:cs="Arial"/>
                <w:color w:val="000000"/>
                <w:lang w:eastAsia="en-GB"/>
              </w:rPr>
            </w:pPr>
            <w:r w:rsidRPr="007B4A0D">
              <w:rPr>
                <w:rFonts w:cs="Arial"/>
                <w:color w:val="000000"/>
                <w:lang w:eastAsia="en-GB"/>
              </w:rPr>
              <w:t>Trade waste</w:t>
            </w:r>
          </w:p>
        </w:tc>
        <w:tc>
          <w:tcPr>
            <w:tcW w:w="1660" w:type="dxa"/>
            <w:tcBorders>
              <w:top w:val="nil"/>
              <w:left w:val="nil"/>
              <w:bottom w:val="single" w:sz="4" w:space="0" w:color="auto"/>
              <w:right w:val="single" w:sz="4" w:space="0" w:color="auto"/>
            </w:tcBorders>
            <w:shd w:val="clear" w:color="auto" w:fill="auto"/>
            <w:vAlign w:val="center"/>
            <w:hideMark/>
          </w:tcPr>
          <w:p w14:paraId="5FCD6F03" w14:textId="77777777" w:rsidR="007B4A0D" w:rsidRPr="003733CD" w:rsidRDefault="007B4A0D">
            <w:pPr>
              <w:jc w:val="center"/>
              <w:rPr>
                <w:rFonts w:eastAsia="Calibri" w:cs="Arial"/>
                <w:color w:val="000000"/>
                <w:lang w:eastAsia="en-GB"/>
              </w:rPr>
            </w:pPr>
            <w:r w:rsidRPr="007B4A0D">
              <w:rPr>
                <w:color w:val="000000"/>
                <w:lang w:eastAsia="en-GB"/>
              </w:rPr>
              <w:t>3,433</w:t>
            </w:r>
          </w:p>
        </w:tc>
        <w:tc>
          <w:tcPr>
            <w:tcW w:w="1880" w:type="dxa"/>
            <w:tcBorders>
              <w:top w:val="nil"/>
              <w:left w:val="nil"/>
              <w:bottom w:val="single" w:sz="4" w:space="0" w:color="auto"/>
              <w:right w:val="single" w:sz="4" w:space="0" w:color="auto"/>
            </w:tcBorders>
            <w:shd w:val="clear" w:color="auto" w:fill="auto"/>
            <w:vAlign w:val="center"/>
            <w:hideMark/>
          </w:tcPr>
          <w:p w14:paraId="6728AEC3" w14:textId="77777777" w:rsidR="007B4A0D" w:rsidRPr="003733CD" w:rsidRDefault="007B4A0D">
            <w:pPr>
              <w:jc w:val="center"/>
              <w:rPr>
                <w:rFonts w:eastAsia="Calibri" w:cs="Arial"/>
                <w:color w:val="000000"/>
                <w:lang w:eastAsia="en-GB"/>
              </w:rPr>
            </w:pPr>
            <w:r w:rsidRPr="007B4A0D">
              <w:rPr>
                <w:color w:val="000000"/>
                <w:lang w:eastAsia="en-GB"/>
              </w:rPr>
              <w:t>3,523</w:t>
            </w:r>
          </w:p>
        </w:tc>
        <w:tc>
          <w:tcPr>
            <w:tcW w:w="1422" w:type="dxa"/>
            <w:tcBorders>
              <w:top w:val="nil"/>
              <w:left w:val="nil"/>
              <w:bottom w:val="single" w:sz="4" w:space="0" w:color="auto"/>
              <w:right w:val="single" w:sz="4" w:space="0" w:color="auto"/>
            </w:tcBorders>
            <w:shd w:val="clear" w:color="auto" w:fill="auto"/>
            <w:vAlign w:val="center"/>
            <w:hideMark/>
          </w:tcPr>
          <w:p w14:paraId="1EC56587" w14:textId="77777777" w:rsidR="007B4A0D" w:rsidRPr="003733CD" w:rsidRDefault="007B4A0D">
            <w:pPr>
              <w:jc w:val="center"/>
              <w:rPr>
                <w:rFonts w:eastAsia="Calibri" w:cs="Arial"/>
                <w:color w:val="000000"/>
                <w:lang w:eastAsia="en-GB"/>
              </w:rPr>
            </w:pPr>
            <w:r w:rsidRPr="007B4A0D">
              <w:rPr>
                <w:color w:val="000000"/>
                <w:lang w:eastAsia="en-GB"/>
              </w:rPr>
              <w:t>3,543</w:t>
            </w:r>
          </w:p>
        </w:tc>
        <w:tc>
          <w:tcPr>
            <w:tcW w:w="1701" w:type="dxa"/>
            <w:tcBorders>
              <w:top w:val="nil"/>
              <w:left w:val="nil"/>
              <w:bottom w:val="single" w:sz="4" w:space="0" w:color="auto"/>
              <w:right w:val="single" w:sz="4" w:space="0" w:color="auto"/>
            </w:tcBorders>
            <w:shd w:val="clear" w:color="auto" w:fill="auto"/>
            <w:vAlign w:val="center"/>
            <w:hideMark/>
          </w:tcPr>
          <w:p w14:paraId="15D4BB18" w14:textId="77777777" w:rsidR="007B4A0D" w:rsidRPr="003733CD" w:rsidRDefault="007B4A0D">
            <w:pPr>
              <w:jc w:val="center"/>
              <w:rPr>
                <w:rFonts w:eastAsia="Calibri" w:cs="Arial"/>
                <w:color w:val="000000"/>
                <w:lang w:eastAsia="en-GB"/>
              </w:rPr>
            </w:pPr>
            <w:r w:rsidRPr="007B4A0D">
              <w:rPr>
                <w:color w:val="000000"/>
                <w:lang w:eastAsia="en-GB"/>
              </w:rPr>
              <w:t>3,543</w:t>
            </w:r>
          </w:p>
        </w:tc>
      </w:tr>
      <w:tr w:rsidR="007B4A0D" w:rsidRPr="002C2483" w14:paraId="37A3E218" w14:textId="77777777" w:rsidTr="00A37818">
        <w:trPr>
          <w:trHeight w:val="37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5FE3511" w14:textId="77777777" w:rsidR="007B4A0D" w:rsidRPr="007B4A0D" w:rsidRDefault="007B4A0D" w:rsidP="00A17A6E">
            <w:pPr>
              <w:rPr>
                <w:rFonts w:cs="Arial"/>
                <w:b/>
                <w:bCs/>
                <w:color w:val="000000"/>
                <w:lang w:eastAsia="en-GB"/>
              </w:rPr>
            </w:pPr>
            <w:r w:rsidRPr="007B4A0D">
              <w:rPr>
                <w:rFonts w:cs="Arial"/>
                <w:b/>
                <w:bCs/>
                <w:color w:val="000000"/>
                <w:lang w:eastAsia="en-GB"/>
              </w:rPr>
              <w:t>Total</w:t>
            </w:r>
          </w:p>
        </w:tc>
        <w:tc>
          <w:tcPr>
            <w:tcW w:w="1660" w:type="dxa"/>
            <w:tcBorders>
              <w:top w:val="nil"/>
              <w:left w:val="nil"/>
              <w:bottom w:val="single" w:sz="4" w:space="0" w:color="auto"/>
              <w:right w:val="single" w:sz="4" w:space="0" w:color="auto"/>
            </w:tcBorders>
            <w:shd w:val="clear" w:color="000000" w:fill="F2F2F2"/>
            <w:vAlign w:val="center"/>
            <w:hideMark/>
          </w:tcPr>
          <w:p w14:paraId="54468BD1" w14:textId="77777777" w:rsidR="007B4A0D" w:rsidRPr="003733CD" w:rsidRDefault="007B4A0D">
            <w:pPr>
              <w:jc w:val="center"/>
              <w:rPr>
                <w:rFonts w:eastAsia="Calibri" w:cs="Arial"/>
                <w:color w:val="000000"/>
                <w:lang w:eastAsia="en-GB"/>
              </w:rPr>
            </w:pPr>
            <w:r w:rsidRPr="007B4A0D">
              <w:rPr>
                <w:color w:val="000000"/>
                <w:lang w:eastAsia="en-GB"/>
              </w:rPr>
              <w:t>6,651</w:t>
            </w:r>
          </w:p>
        </w:tc>
        <w:tc>
          <w:tcPr>
            <w:tcW w:w="1880" w:type="dxa"/>
            <w:tcBorders>
              <w:top w:val="nil"/>
              <w:left w:val="nil"/>
              <w:bottom w:val="single" w:sz="4" w:space="0" w:color="auto"/>
              <w:right w:val="single" w:sz="4" w:space="0" w:color="auto"/>
            </w:tcBorders>
            <w:shd w:val="clear" w:color="000000" w:fill="F2F2F2"/>
            <w:vAlign w:val="center"/>
            <w:hideMark/>
          </w:tcPr>
          <w:p w14:paraId="316EA512" w14:textId="77777777" w:rsidR="007B4A0D" w:rsidRPr="003733CD" w:rsidRDefault="007B4A0D">
            <w:pPr>
              <w:jc w:val="center"/>
              <w:rPr>
                <w:rFonts w:eastAsia="Calibri" w:cs="Arial"/>
                <w:color w:val="000000"/>
                <w:lang w:eastAsia="en-GB"/>
              </w:rPr>
            </w:pPr>
            <w:r w:rsidRPr="007B4A0D">
              <w:rPr>
                <w:color w:val="000000"/>
                <w:lang w:eastAsia="en-GB"/>
              </w:rPr>
              <w:t>9,427</w:t>
            </w:r>
          </w:p>
        </w:tc>
        <w:tc>
          <w:tcPr>
            <w:tcW w:w="1422" w:type="dxa"/>
            <w:tcBorders>
              <w:top w:val="nil"/>
              <w:left w:val="nil"/>
              <w:bottom w:val="single" w:sz="4" w:space="0" w:color="auto"/>
              <w:right w:val="single" w:sz="4" w:space="0" w:color="auto"/>
            </w:tcBorders>
            <w:shd w:val="clear" w:color="000000" w:fill="F2F2F2"/>
            <w:vAlign w:val="center"/>
            <w:hideMark/>
          </w:tcPr>
          <w:p w14:paraId="7CBF7CB3" w14:textId="77777777" w:rsidR="007B4A0D" w:rsidRPr="003733CD" w:rsidRDefault="007B4A0D">
            <w:pPr>
              <w:jc w:val="center"/>
              <w:rPr>
                <w:rFonts w:eastAsia="Calibri" w:cs="Arial"/>
                <w:color w:val="000000"/>
                <w:lang w:eastAsia="en-GB"/>
              </w:rPr>
            </w:pPr>
            <w:r w:rsidRPr="007B4A0D">
              <w:rPr>
                <w:color w:val="000000"/>
                <w:lang w:eastAsia="en-GB"/>
              </w:rPr>
              <w:t>9,303</w:t>
            </w:r>
          </w:p>
        </w:tc>
        <w:tc>
          <w:tcPr>
            <w:tcW w:w="1701" w:type="dxa"/>
            <w:tcBorders>
              <w:top w:val="nil"/>
              <w:left w:val="nil"/>
              <w:bottom w:val="single" w:sz="4" w:space="0" w:color="auto"/>
              <w:right w:val="single" w:sz="4" w:space="0" w:color="auto"/>
            </w:tcBorders>
            <w:shd w:val="clear" w:color="000000" w:fill="F2F2F2"/>
            <w:vAlign w:val="center"/>
            <w:hideMark/>
          </w:tcPr>
          <w:p w14:paraId="591FE513" w14:textId="77777777" w:rsidR="007B4A0D" w:rsidRPr="003733CD" w:rsidRDefault="007B4A0D">
            <w:pPr>
              <w:jc w:val="center"/>
              <w:rPr>
                <w:rFonts w:eastAsia="Calibri" w:cs="Arial"/>
                <w:color w:val="000000"/>
                <w:lang w:eastAsia="en-GB"/>
              </w:rPr>
            </w:pPr>
            <w:r w:rsidRPr="007B4A0D">
              <w:rPr>
                <w:color w:val="000000"/>
                <w:lang w:eastAsia="en-GB"/>
              </w:rPr>
              <w:t>9,303</w:t>
            </w:r>
          </w:p>
        </w:tc>
      </w:tr>
      <w:tr w:rsidR="007B4A0D" w:rsidRPr="002C2483" w14:paraId="69CC2266" w14:textId="77777777" w:rsidTr="00A37818">
        <w:trPr>
          <w:trHeight w:val="37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525848B" w14:textId="77777777" w:rsidR="007B4A0D" w:rsidRPr="007B4A0D" w:rsidRDefault="007B4A0D" w:rsidP="00A17A6E">
            <w:pPr>
              <w:rPr>
                <w:rFonts w:cs="Arial"/>
                <w:b/>
                <w:bCs/>
                <w:color w:val="000000"/>
                <w:lang w:eastAsia="en-GB"/>
              </w:rPr>
            </w:pPr>
            <w:r w:rsidRPr="007B4A0D">
              <w:rPr>
                <w:rFonts w:cs="Arial"/>
                <w:b/>
                <w:bCs/>
                <w:color w:val="000000"/>
                <w:lang w:eastAsia="en-GB"/>
              </w:rPr>
              <w:t xml:space="preserve">Total </w:t>
            </w:r>
            <w:r w:rsidR="008B23A8">
              <w:rPr>
                <w:rFonts w:cs="Arial"/>
                <w:b/>
                <w:bCs/>
                <w:color w:val="000000"/>
                <w:lang w:eastAsia="en-GB"/>
              </w:rPr>
              <w:t xml:space="preserve">Gross </w:t>
            </w:r>
            <w:r w:rsidRPr="007B4A0D">
              <w:rPr>
                <w:rFonts w:cs="Arial"/>
                <w:b/>
                <w:bCs/>
                <w:color w:val="000000"/>
                <w:lang w:eastAsia="en-GB"/>
              </w:rPr>
              <w:t>Contribution</w:t>
            </w:r>
          </w:p>
        </w:tc>
        <w:tc>
          <w:tcPr>
            <w:tcW w:w="1660" w:type="dxa"/>
            <w:tcBorders>
              <w:top w:val="nil"/>
              <w:left w:val="nil"/>
              <w:bottom w:val="single" w:sz="4" w:space="0" w:color="auto"/>
              <w:right w:val="single" w:sz="4" w:space="0" w:color="auto"/>
            </w:tcBorders>
            <w:shd w:val="clear" w:color="auto" w:fill="auto"/>
            <w:vAlign w:val="center"/>
            <w:hideMark/>
          </w:tcPr>
          <w:p w14:paraId="2B5A8976" w14:textId="77777777" w:rsidR="007B4A0D" w:rsidRPr="003733CD" w:rsidRDefault="007B4A0D">
            <w:pPr>
              <w:jc w:val="center"/>
              <w:rPr>
                <w:rFonts w:eastAsia="Calibri" w:cs="Arial"/>
                <w:color w:val="000000"/>
                <w:lang w:eastAsia="en-GB"/>
              </w:rPr>
            </w:pPr>
            <w:r w:rsidRPr="007B4A0D">
              <w:rPr>
                <w:color w:val="000000"/>
                <w:lang w:eastAsia="en-GB"/>
              </w:rPr>
              <w:t>3,210</w:t>
            </w:r>
          </w:p>
        </w:tc>
        <w:tc>
          <w:tcPr>
            <w:tcW w:w="1880" w:type="dxa"/>
            <w:tcBorders>
              <w:top w:val="nil"/>
              <w:left w:val="nil"/>
              <w:bottom w:val="single" w:sz="4" w:space="0" w:color="auto"/>
              <w:right w:val="single" w:sz="4" w:space="0" w:color="auto"/>
            </w:tcBorders>
            <w:shd w:val="clear" w:color="auto" w:fill="auto"/>
            <w:vAlign w:val="center"/>
            <w:hideMark/>
          </w:tcPr>
          <w:p w14:paraId="4B5839DA" w14:textId="77777777" w:rsidR="007B4A0D" w:rsidRPr="003733CD" w:rsidRDefault="007B4A0D">
            <w:pPr>
              <w:jc w:val="center"/>
              <w:rPr>
                <w:rFonts w:eastAsia="Calibri" w:cs="Arial"/>
                <w:color w:val="000000"/>
                <w:lang w:eastAsia="en-GB"/>
              </w:rPr>
            </w:pPr>
            <w:r w:rsidRPr="007B4A0D">
              <w:rPr>
                <w:color w:val="000000"/>
                <w:lang w:eastAsia="en-GB"/>
              </w:rPr>
              <w:t>3,360</w:t>
            </w:r>
          </w:p>
        </w:tc>
        <w:tc>
          <w:tcPr>
            <w:tcW w:w="1422" w:type="dxa"/>
            <w:tcBorders>
              <w:top w:val="nil"/>
              <w:left w:val="nil"/>
              <w:bottom w:val="single" w:sz="4" w:space="0" w:color="auto"/>
              <w:right w:val="single" w:sz="4" w:space="0" w:color="auto"/>
            </w:tcBorders>
            <w:shd w:val="clear" w:color="auto" w:fill="auto"/>
            <w:vAlign w:val="center"/>
            <w:hideMark/>
          </w:tcPr>
          <w:p w14:paraId="12B02CB3" w14:textId="77777777" w:rsidR="007B4A0D" w:rsidRPr="003733CD" w:rsidRDefault="007B4A0D">
            <w:pPr>
              <w:jc w:val="center"/>
              <w:rPr>
                <w:rFonts w:eastAsia="Calibri" w:cs="Arial"/>
                <w:color w:val="000000"/>
                <w:lang w:eastAsia="en-GB"/>
              </w:rPr>
            </w:pPr>
            <w:r w:rsidRPr="007B4A0D">
              <w:rPr>
                <w:color w:val="000000"/>
                <w:lang w:eastAsia="en-GB"/>
              </w:rPr>
              <w:t>3,400</w:t>
            </w:r>
          </w:p>
        </w:tc>
        <w:tc>
          <w:tcPr>
            <w:tcW w:w="1701" w:type="dxa"/>
            <w:tcBorders>
              <w:top w:val="nil"/>
              <w:left w:val="nil"/>
              <w:bottom w:val="single" w:sz="4" w:space="0" w:color="auto"/>
              <w:right w:val="single" w:sz="4" w:space="0" w:color="auto"/>
            </w:tcBorders>
            <w:shd w:val="clear" w:color="auto" w:fill="auto"/>
            <w:vAlign w:val="center"/>
            <w:hideMark/>
          </w:tcPr>
          <w:p w14:paraId="0BAF93F7" w14:textId="77777777" w:rsidR="007B4A0D" w:rsidRPr="003733CD" w:rsidRDefault="007B4A0D">
            <w:pPr>
              <w:jc w:val="center"/>
              <w:rPr>
                <w:rFonts w:eastAsia="Calibri" w:cs="Arial"/>
                <w:color w:val="000000"/>
                <w:lang w:eastAsia="en-GB"/>
              </w:rPr>
            </w:pPr>
            <w:r w:rsidRPr="007B4A0D">
              <w:rPr>
                <w:color w:val="000000"/>
                <w:lang w:eastAsia="en-GB"/>
              </w:rPr>
              <w:t>3,400</w:t>
            </w:r>
          </w:p>
        </w:tc>
      </w:tr>
      <w:tr w:rsidR="008B23A8" w:rsidRPr="002C2483" w14:paraId="3362F405" w14:textId="77777777" w:rsidTr="00A37818">
        <w:trPr>
          <w:trHeight w:val="37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750A1AF" w14:textId="77777777" w:rsidR="008B23A8" w:rsidRPr="007B4A0D" w:rsidRDefault="008B23A8" w:rsidP="008B23A8">
            <w:pPr>
              <w:rPr>
                <w:rFonts w:cs="Arial"/>
                <w:b/>
                <w:bCs/>
                <w:color w:val="000000"/>
                <w:lang w:eastAsia="en-GB"/>
              </w:rPr>
            </w:pPr>
            <w:r>
              <w:rPr>
                <w:rFonts w:cs="Arial"/>
                <w:b/>
                <w:bCs/>
                <w:color w:val="000000"/>
                <w:lang w:eastAsia="en-GB"/>
              </w:rPr>
              <w:t>Net Contribution included in MTFP</w:t>
            </w:r>
          </w:p>
        </w:tc>
        <w:tc>
          <w:tcPr>
            <w:tcW w:w="1660" w:type="dxa"/>
            <w:tcBorders>
              <w:top w:val="nil"/>
              <w:left w:val="nil"/>
              <w:bottom w:val="single" w:sz="4" w:space="0" w:color="auto"/>
              <w:right w:val="single" w:sz="4" w:space="0" w:color="auto"/>
            </w:tcBorders>
            <w:shd w:val="clear" w:color="auto" w:fill="auto"/>
            <w:vAlign w:val="center"/>
            <w:hideMark/>
          </w:tcPr>
          <w:p w14:paraId="4B578F5D" w14:textId="77777777" w:rsidR="008B23A8" w:rsidRPr="003733CD" w:rsidRDefault="008B23A8">
            <w:pPr>
              <w:jc w:val="center"/>
              <w:rPr>
                <w:rFonts w:eastAsia="Calibri" w:cs="Arial"/>
                <w:color w:val="000000"/>
                <w:lang w:eastAsia="en-GB"/>
              </w:rPr>
            </w:pPr>
            <w:r>
              <w:rPr>
                <w:color w:val="000000"/>
                <w:lang w:eastAsia="en-GB"/>
              </w:rPr>
              <w:t>1,199</w:t>
            </w:r>
          </w:p>
        </w:tc>
        <w:tc>
          <w:tcPr>
            <w:tcW w:w="1880" w:type="dxa"/>
            <w:tcBorders>
              <w:top w:val="nil"/>
              <w:left w:val="nil"/>
              <w:bottom w:val="single" w:sz="4" w:space="0" w:color="auto"/>
              <w:right w:val="single" w:sz="4" w:space="0" w:color="auto"/>
            </w:tcBorders>
            <w:shd w:val="clear" w:color="auto" w:fill="auto"/>
            <w:vAlign w:val="center"/>
            <w:hideMark/>
          </w:tcPr>
          <w:p w14:paraId="7923C5FD" w14:textId="77777777" w:rsidR="008B23A8" w:rsidRPr="003733CD" w:rsidRDefault="008B23A8">
            <w:pPr>
              <w:jc w:val="center"/>
              <w:rPr>
                <w:rFonts w:eastAsia="Calibri" w:cs="Arial"/>
                <w:color w:val="000000"/>
                <w:lang w:eastAsia="en-GB"/>
              </w:rPr>
            </w:pPr>
            <w:r>
              <w:rPr>
                <w:color w:val="000000"/>
                <w:lang w:eastAsia="en-GB"/>
              </w:rPr>
              <w:t>1,317</w:t>
            </w:r>
          </w:p>
        </w:tc>
        <w:tc>
          <w:tcPr>
            <w:tcW w:w="1422" w:type="dxa"/>
            <w:tcBorders>
              <w:top w:val="nil"/>
              <w:left w:val="nil"/>
              <w:bottom w:val="single" w:sz="4" w:space="0" w:color="auto"/>
              <w:right w:val="single" w:sz="4" w:space="0" w:color="auto"/>
            </w:tcBorders>
            <w:shd w:val="clear" w:color="auto" w:fill="auto"/>
            <w:vAlign w:val="center"/>
            <w:hideMark/>
          </w:tcPr>
          <w:p w14:paraId="6C6F67A1" w14:textId="77777777" w:rsidR="008B23A8" w:rsidRPr="003733CD" w:rsidRDefault="008B23A8">
            <w:pPr>
              <w:jc w:val="center"/>
              <w:rPr>
                <w:rFonts w:eastAsia="Calibri" w:cs="Arial"/>
                <w:color w:val="000000"/>
                <w:lang w:eastAsia="en-GB"/>
              </w:rPr>
            </w:pPr>
            <w:r>
              <w:rPr>
                <w:color w:val="000000"/>
                <w:lang w:eastAsia="en-GB"/>
              </w:rPr>
              <w:t>1,325</w:t>
            </w:r>
          </w:p>
        </w:tc>
        <w:tc>
          <w:tcPr>
            <w:tcW w:w="1701" w:type="dxa"/>
            <w:tcBorders>
              <w:top w:val="nil"/>
              <w:left w:val="nil"/>
              <w:bottom w:val="single" w:sz="4" w:space="0" w:color="auto"/>
              <w:right w:val="single" w:sz="4" w:space="0" w:color="auto"/>
            </w:tcBorders>
            <w:shd w:val="clear" w:color="auto" w:fill="auto"/>
            <w:vAlign w:val="center"/>
            <w:hideMark/>
          </w:tcPr>
          <w:p w14:paraId="08E77AE9" w14:textId="77777777" w:rsidR="008B23A8" w:rsidRPr="003733CD" w:rsidRDefault="008B23A8">
            <w:pPr>
              <w:jc w:val="center"/>
              <w:rPr>
                <w:rFonts w:eastAsia="Calibri" w:cs="Arial"/>
                <w:color w:val="000000"/>
                <w:lang w:eastAsia="en-GB"/>
              </w:rPr>
            </w:pPr>
            <w:r>
              <w:rPr>
                <w:color w:val="000000"/>
                <w:lang w:eastAsia="en-GB"/>
              </w:rPr>
              <w:t>1,318</w:t>
            </w:r>
          </w:p>
        </w:tc>
      </w:tr>
    </w:tbl>
    <w:p w14:paraId="76382035" w14:textId="77777777" w:rsidR="00F878C6" w:rsidRPr="002C2483" w:rsidRDefault="00F878C6" w:rsidP="00E676CF">
      <w:pPr>
        <w:spacing w:after="120"/>
        <w:ind w:right="386"/>
        <w:rPr>
          <w:highlight w:val="yellow"/>
        </w:rPr>
      </w:pPr>
    </w:p>
    <w:p w14:paraId="62387A87" w14:textId="616B252D" w:rsidR="002A049F" w:rsidRPr="00D64233" w:rsidRDefault="006A42B3" w:rsidP="006A42B3">
      <w:pPr>
        <w:spacing w:after="120"/>
        <w:ind w:left="928" w:right="386" w:hanging="361"/>
      </w:pPr>
      <w:r>
        <w:rPr>
          <w:b/>
        </w:rPr>
        <w:t>j)</w:t>
      </w:r>
      <w:r>
        <w:rPr>
          <w:b/>
        </w:rPr>
        <w:tab/>
        <w:t xml:space="preserve"> </w:t>
      </w:r>
      <w:r w:rsidR="00EF3552" w:rsidRPr="00D64233">
        <w:rPr>
          <w:b/>
        </w:rPr>
        <w:t>Capital Financing</w:t>
      </w:r>
      <w:r w:rsidR="00EF3552" w:rsidRPr="00D64233">
        <w:t xml:space="preserve"> - Capital </w:t>
      </w:r>
      <w:r w:rsidR="002A049F" w:rsidRPr="00D64233">
        <w:t>financing</w:t>
      </w:r>
      <w:r w:rsidR="00EF3552" w:rsidRPr="00D64233">
        <w:t xml:space="preserve"> for the draft </w:t>
      </w:r>
      <w:r w:rsidR="00394651" w:rsidRPr="00D64233">
        <w:t>C</w:t>
      </w:r>
      <w:r w:rsidR="00EF3552" w:rsidRPr="00D64233">
        <w:t xml:space="preserve">apital </w:t>
      </w:r>
      <w:r w:rsidR="00394651" w:rsidRPr="00D64233">
        <w:t xml:space="preserve">Programme </w:t>
      </w:r>
      <w:r w:rsidR="00EF3552" w:rsidRPr="00D64233">
        <w:t xml:space="preserve">is detailed in Section D. The </w:t>
      </w:r>
      <w:r w:rsidR="00150735" w:rsidRPr="00D64233">
        <w:t xml:space="preserve">four year </w:t>
      </w:r>
      <w:r w:rsidR="00EF3552" w:rsidRPr="00D64233">
        <w:t>M</w:t>
      </w:r>
      <w:r w:rsidR="00150735" w:rsidRPr="00D64233">
        <w:t xml:space="preserve">edium Term </w:t>
      </w:r>
      <w:r w:rsidR="00EF3552" w:rsidRPr="00D64233">
        <w:t>F</w:t>
      </w:r>
      <w:r w:rsidR="00150735" w:rsidRPr="00D64233">
        <w:t xml:space="preserve">inancial </w:t>
      </w:r>
      <w:r w:rsidR="00EF3552" w:rsidRPr="00D64233">
        <w:t>S</w:t>
      </w:r>
      <w:r w:rsidR="00150735" w:rsidRPr="00D64233">
        <w:t xml:space="preserve">trategy </w:t>
      </w:r>
      <w:r w:rsidR="009D366C" w:rsidRPr="00D64233">
        <w:t xml:space="preserve">assumes </w:t>
      </w:r>
      <w:r w:rsidR="00AE6DED" w:rsidRPr="00D64233">
        <w:t>£</w:t>
      </w:r>
      <w:r w:rsidR="0033632F" w:rsidRPr="00D64233">
        <w:t>1</w:t>
      </w:r>
      <w:r w:rsidR="002A049F" w:rsidRPr="00D64233">
        <w:t>7</w:t>
      </w:r>
      <w:r w:rsidR="00AE6DED" w:rsidRPr="00D64233">
        <w:t>.</w:t>
      </w:r>
      <w:r w:rsidR="002A049F" w:rsidRPr="00D64233">
        <w:t>4</w:t>
      </w:r>
      <w:r w:rsidR="00AE6DED" w:rsidRPr="00D64233">
        <w:t xml:space="preserve"> million of revenue contributions </w:t>
      </w:r>
      <w:r w:rsidR="00A37818" w:rsidRPr="00D64233">
        <w:t>will be made to f</w:t>
      </w:r>
      <w:r w:rsidR="00AE6DED" w:rsidRPr="00D64233">
        <w:t xml:space="preserve">inance </w:t>
      </w:r>
      <w:r w:rsidR="002A049F" w:rsidRPr="00D64233">
        <w:t xml:space="preserve">vehicle replacements and ICT software and hardware </w:t>
      </w:r>
      <w:r w:rsidR="00A83682">
        <w:t>over the period.</w:t>
      </w:r>
    </w:p>
    <w:p w14:paraId="2BC16ED3" w14:textId="11776B75" w:rsidR="00EF3552" w:rsidRPr="00D64233" w:rsidRDefault="002A049F" w:rsidP="006A42B3">
      <w:pPr>
        <w:pStyle w:val="ListParagraph"/>
        <w:numPr>
          <w:ilvl w:val="0"/>
          <w:numId w:val="42"/>
        </w:numPr>
        <w:spacing w:after="120"/>
        <w:ind w:right="386"/>
      </w:pPr>
      <w:r w:rsidRPr="006A42B3">
        <w:rPr>
          <w:b/>
        </w:rPr>
        <w:lastRenderedPageBreak/>
        <w:t xml:space="preserve">Planned Repairs and Maintenance </w:t>
      </w:r>
      <w:r w:rsidRPr="00D64233">
        <w:t xml:space="preserve">– £1.2 million per annum </w:t>
      </w:r>
      <w:r w:rsidR="00A83682">
        <w:t>for</w:t>
      </w:r>
      <w:r w:rsidRPr="00D64233">
        <w:t xml:space="preserve"> planned maintenance to Corporate Buildings</w:t>
      </w:r>
      <w:r w:rsidR="0033632F" w:rsidRPr="00D64233">
        <w:t>.</w:t>
      </w:r>
      <w:r w:rsidRPr="00D64233">
        <w:t xml:space="preserve"> At the end of the 4 year period backlog repairs and maintenance is estimated at around £2.6 million</w:t>
      </w:r>
      <w:r w:rsidR="00AE6DED" w:rsidRPr="00D64233">
        <w:t xml:space="preserve"> </w:t>
      </w:r>
      <w:r w:rsidR="0033632F" w:rsidRPr="00D64233">
        <w:t xml:space="preserve"> </w:t>
      </w:r>
    </w:p>
    <w:p w14:paraId="36C57011" w14:textId="0DDAEF9E" w:rsidR="00A83682" w:rsidRDefault="00EF3552" w:rsidP="006A42B3">
      <w:pPr>
        <w:pStyle w:val="ListParagraph"/>
        <w:numPr>
          <w:ilvl w:val="0"/>
          <w:numId w:val="42"/>
        </w:numPr>
        <w:tabs>
          <w:tab w:val="left" w:pos="2160"/>
        </w:tabs>
        <w:spacing w:after="120"/>
        <w:ind w:right="386"/>
      </w:pPr>
      <w:r w:rsidRPr="006A42B3">
        <w:rPr>
          <w:b/>
        </w:rPr>
        <w:t xml:space="preserve">Contingencies </w:t>
      </w:r>
      <w:r w:rsidR="00902E5A" w:rsidRPr="00D64233">
        <w:t>–</w:t>
      </w:r>
      <w:r w:rsidRPr="00D64233">
        <w:t xml:space="preserve"> </w:t>
      </w:r>
      <w:r w:rsidR="00A83682" w:rsidRPr="00D64233">
        <w:t xml:space="preserve">In a change to previous </w:t>
      </w:r>
      <w:proofErr w:type="gramStart"/>
      <w:r w:rsidR="00A83682" w:rsidRPr="00D64233">
        <w:t>years</w:t>
      </w:r>
      <w:proofErr w:type="gramEnd"/>
      <w:r w:rsidR="00A83682" w:rsidRPr="00D64233">
        <w:t xml:space="preserve"> policy contingencies </w:t>
      </w:r>
      <w:r w:rsidR="00A83682">
        <w:t xml:space="preserve">of 30% are </w:t>
      </w:r>
      <w:r w:rsidR="00A83682" w:rsidRPr="00D64233">
        <w:t xml:space="preserve">held against </w:t>
      </w:r>
      <w:r w:rsidR="00A83682">
        <w:t xml:space="preserve">high risk </w:t>
      </w:r>
      <w:r w:rsidR="00A83682" w:rsidRPr="00D64233">
        <w:t>efficiencies, fees and charges and service reduction proposals</w:t>
      </w:r>
      <w:r w:rsidR="00A83682">
        <w:t xml:space="preserve"> as set out below</w:t>
      </w:r>
      <w:r w:rsidR="00A83682" w:rsidRPr="00D64233">
        <w:t>.</w:t>
      </w:r>
      <w:r w:rsidR="00CC237A">
        <w:t xml:space="preserve"> </w:t>
      </w:r>
      <w:r w:rsidR="00A83682" w:rsidRPr="00D64233">
        <w:t xml:space="preserve">This seems financially prudent given that the Council has had good track record of delivering </w:t>
      </w:r>
      <w:r w:rsidR="00A83682">
        <w:t>within budget.</w:t>
      </w:r>
    </w:p>
    <w:p w14:paraId="4F6906BB" w14:textId="77777777" w:rsidR="00DE3FBB" w:rsidRDefault="00DE3FBB" w:rsidP="00AF31F8">
      <w:pPr>
        <w:tabs>
          <w:tab w:val="left" w:pos="2160"/>
        </w:tabs>
        <w:spacing w:after="120"/>
        <w:ind w:left="2160" w:right="386"/>
      </w:pPr>
    </w:p>
    <w:p w14:paraId="6687E3C7" w14:textId="77777777" w:rsidR="006A42B3" w:rsidRDefault="006A42B3" w:rsidP="00AF31F8">
      <w:pPr>
        <w:tabs>
          <w:tab w:val="left" w:pos="2160"/>
        </w:tabs>
        <w:spacing w:after="120"/>
        <w:ind w:left="2160" w:right="386"/>
      </w:pPr>
    </w:p>
    <w:p w14:paraId="063A37BE" w14:textId="77777777" w:rsidR="006A42B3" w:rsidRPr="00D64233" w:rsidRDefault="006A42B3" w:rsidP="00AF31F8">
      <w:pPr>
        <w:tabs>
          <w:tab w:val="left" w:pos="2160"/>
        </w:tabs>
        <w:spacing w:after="120"/>
        <w:ind w:left="2160" w:right="386"/>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470"/>
        <w:gridCol w:w="1507"/>
        <w:gridCol w:w="1496"/>
        <w:gridCol w:w="1496"/>
      </w:tblGrid>
      <w:tr w:rsidR="00B47C41" w:rsidRPr="00D64233" w14:paraId="65776851" w14:textId="77777777" w:rsidTr="00942056">
        <w:tc>
          <w:tcPr>
            <w:tcW w:w="9003" w:type="dxa"/>
            <w:gridSpan w:val="5"/>
            <w:shd w:val="clear" w:color="auto" w:fill="auto"/>
          </w:tcPr>
          <w:p w14:paraId="0B340383" w14:textId="77777777" w:rsidR="00B47C41" w:rsidRPr="00D64233" w:rsidRDefault="00165A9E" w:rsidP="00DD0A73">
            <w:pPr>
              <w:tabs>
                <w:tab w:val="left" w:pos="2160"/>
              </w:tabs>
              <w:spacing w:after="120"/>
              <w:ind w:left="1026" w:right="386" w:hanging="850"/>
              <w:rPr>
                <w:b/>
              </w:rPr>
            </w:pPr>
            <w:r w:rsidRPr="00D64233">
              <w:rPr>
                <w:b/>
              </w:rPr>
              <w:t xml:space="preserve">Table </w:t>
            </w:r>
            <w:r w:rsidR="0010427B">
              <w:rPr>
                <w:b/>
              </w:rPr>
              <w:t>7</w:t>
            </w:r>
            <w:r w:rsidR="00B47C41" w:rsidRPr="00D64233">
              <w:rPr>
                <w:b/>
              </w:rPr>
              <w:t xml:space="preserve"> : Contingencies held against efficiencies</w:t>
            </w:r>
            <w:r w:rsidR="002F2660" w:rsidRPr="00D64233">
              <w:rPr>
                <w:b/>
              </w:rPr>
              <w:t xml:space="preserve">, service reductions </w:t>
            </w:r>
            <w:r w:rsidR="00237C80" w:rsidRPr="00D64233">
              <w:rPr>
                <w:b/>
              </w:rPr>
              <w:t xml:space="preserve"> and fees and charge increases</w:t>
            </w:r>
          </w:p>
        </w:tc>
      </w:tr>
      <w:tr w:rsidR="00F1013B" w:rsidRPr="00D64233" w14:paraId="4311DE2F" w14:textId="77777777" w:rsidTr="00942056">
        <w:tc>
          <w:tcPr>
            <w:tcW w:w="3034" w:type="dxa"/>
            <w:shd w:val="clear" w:color="auto" w:fill="auto"/>
          </w:tcPr>
          <w:p w14:paraId="30E9E051" w14:textId="77777777" w:rsidR="00F1013B" w:rsidRPr="00D64233" w:rsidRDefault="00F1013B" w:rsidP="000F7BF7">
            <w:pPr>
              <w:tabs>
                <w:tab w:val="left" w:pos="2160"/>
              </w:tabs>
              <w:spacing w:after="120"/>
              <w:ind w:right="386"/>
            </w:pPr>
          </w:p>
        </w:tc>
        <w:tc>
          <w:tcPr>
            <w:tcW w:w="1470" w:type="dxa"/>
            <w:shd w:val="clear" w:color="auto" w:fill="EEECE1"/>
          </w:tcPr>
          <w:p w14:paraId="174F44B1" w14:textId="77777777" w:rsidR="00F1013B" w:rsidRPr="00D64233" w:rsidRDefault="00F1013B" w:rsidP="00DF3762">
            <w:pPr>
              <w:tabs>
                <w:tab w:val="left" w:pos="2160"/>
              </w:tabs>
              <w:spacing w:after="120"/>
              <w:ind w:right="386"/>
              <w:jc w:val="center"/>
              <w:rPr>
                <w:b/>
              </w:rPr>
            </w:pPr>
            <w:r w:rsidRPr="00D64233">
              <w:rPr>
                <w:b/>
              </w:rPr>
              <w:t>201</w:t>
            </w:r>
            <w:r w:rsidR="00DF3762" w:rsidRPr="00D64233">
              <w:rPr>
                <w:b/>
              </w:rPr>
              <w:t>7</w:t>
            </w:r>
            <w:r w:rsidRPr="00D64233">
              <w:rPr>
                <w:b/>
              </w:rPr>
              <w:t>/1</w:t>
            </w:r>
            <w:r w:rsidR="00DF3762" w:rsidRPr="00D64233">
              <w:rPr>
                <w:b/>
              </w:rPr>
              <w:t>8</w:t>
            </w:r>
          </w:p>
        </w:tc>
        <w:tc>
          <w:tcPr>
            <w:tcW w:w="1507" w:type="dxa"/>
            <w:shd w:val="clear" w:color="auto" w:fill="EEECE1"/>
          </w:tcPr>
          <w:p w14:paraId="570AF5CB" w14:textId="77777777" w:rsidR="00F1013B" w:rsidRPr="00D64233" w:rsidRDefault="00F1013B" w:rsidP="00DF3762">
            <w:pPr>
              <w:tabs>
                <w:tab w:val="left" w:pos="2160"/>
              </w:tabs>
              <w:spacing w:after="120"/>
              <w:ind w:right="386"/>
              <w:jc w:val="center"/>
              <w:rPr>
                <w:b/>
              </w:rPr>
            </w:pPr>
            <w:r w:rsidRPr="00D64233">
              <w:rPr>
                <w:b/>
              </w:rPr>
              <w:t>201</w:t>
            </w:r>
            <w:r w:rsidR="00DF3762" w:rsidRPr="00D64233">
              <w:rPr>
                <w:b/>
              </w:rPr>
              <w:t>8</w:t>
            </w:r>
            <w:r w:rsidRPr="00D64233">
              <w:rPr>
                <w:b/>
              </w:rPr>
              <w:t>/1</w:t>
            </w:r>
            <w:r w:rsidR="00DF3762" w:rsidRPr="00D64233">
              <w:rPr>
                <w:b/>
              </w:rPr>
              <w:t>9</w:t>
            </w:r>
          </w:p>
        </w:tc>
        <w:tc>
          <w:tcPr>
            <w:tcW w:w="1496" w:type="dxa"/>
            <w:shd w:val="clear" w:color="auto" w:fill="EEECE1"/>
          </w:tcPr>
          <w:p w14:paraId="5A844F20" w14:textId="77777777" w:rsidR="00F1013B" w:rsidRPr="00D64233" w:rsidRDefault="00F1013B" w:rsidP="00DF3762">
            <w:pPr>
              <w:tabs>
                <w:tab w:val="left" w:pos="2160"/>
              </w:tabs>
              <w:spacing w:after="120"/>
              <w:ind w:right="386"/>
              <w:jc w:val="center"/>
              <w:rPr>
                <w:b/>
              </w:rPr>
            </w:pPr>
            <w:r w:rsidRPr="00D64233">
              <w:rPr>
                <w:b/>
              </w:rPr>
              <w:t>201</w:t>
            </w:r>
            <w:r w:rsidR="00DF3762" w:rsidRPr="00D64233">
              <w:rPr>
                <w:b/>
              </w:rPr>
              <w:t>9</w:t>
            </w:r>
            <w:r w:rsidRPr="00D64233">
              <w:rPr>
                <w:b/>
              </w:rPr>
              <w:t>/</w:t>
            </w:r>
            <w:r w:rsidR="00DF3762" w:rsidRPr="00D64233">
              <w:rPr>
                <w:b/>
              </w:rPr>
              <w:t>20</w:t>
            </w:r>
          </w:p>
        </w:tc>
        <w:tc>
          <w:tcPr>
            <w:tcW w:w="1496" w:type="dxa"/>
            <w:shd w:val="clear" w:color="auto" w:fill="EEECE1"/>
          </w:tcPr>
          <w:p w14:paraId="20DC6B6C" w14:textId="77777777" w:rsidR="00F1013B" w:rsidRPr="00D64233" w:rsidRDefault="00F1013B" w:rsidP="00DF3762">
            <w:pPr>
              <w:tabs>
                <w:tab w:val="left" w:pos="2160"/>
              </w:tabs>
              <w:spacing w:after="120"/>
              <w:ind w:right="386"/>
              <w:jc w:val="center"/>
              <w:rPr>
                <w:b/>
              </w:rPr>
            </w:pPr>
            <w:r w:rsidRPr="00D64233">
              <w:rPr>
                <w:b/>
              </w:rPr>
              <w:t>20</w:t>
            </w:r>
            <w:r w:rsidR="00DF3762" w:rsidRPr="00D64233">
              <w:rPr>
                <w:b/>
              </w:rPr>
              <w:t>20</w:t>
            </w:r>
            <w:r w:rsidRPr="00D64233">
              <w:rPr>
                <w:b/>
              </w:rPr>
              <w:t>/2</w:t>
            </w:r>
            <w:r w:rsidR="00DF3762" w:rsidRPr="00D64233">
              <w:rPr>
                <w:b/>
              </w:rPr>
              <w:t>1</w:t>
            </w:r>
          </w:p>
        </w:tc>
      </w:tr>
      <w:tr w:rsidR="005520FB" w:rsidRPr="00D64233" w14:paraId="044E0DDE" w14:textId="77777777" w:rsidTr="00942056">
        <w:tc>
          <w:tcPr>
            <w:tcW w:w="3034" w:type="dxa"/>
            <w:shd w:val="clear" w:color="auto" w:fill="auto"/>
          </w:tcPr>
          <w:p w14:paraId="1F8583A6" w14:textId="77777777" w:rsidR="005520FB" w:rsidRPr="00D64233" w:rsidRDefault="005520FB" w:rsidP="000F7BF7">
            <w:pPr>
              <w:tabs>
                <w:tab w:val="left" w:pos="2160"/>
              </w:tabs>
              <w:spacing w:after="120"/>
              <w:ind w:right="386"/>
            </w:pPr>
          </w:p>
        </w:tc>
        <w:tc>
          <w:tcPr>
            <w:tcW w:w="1470" w:type="dxa"/>
            <w:shd w:val="clear" w:color="auto" w:fill="EEECE1"/>
          </w:tcPr>
          <w:p w14:paraId="60183139" w14:textId="77777777" w:rsidR="005520FB" w:rsidRPr="00D64233" w:rsidRDefault="005520FB" w:rsidP="000F7BF7">
            <w:pPr>
              <w:tabs>
                <w:tab w:val="left" w:pos="2160"/>
              </w:tabs>
              <w:spacing w:after="120"/>
              <w:ind w:right="386"/>
              <w:jc w:val="center"/>
              <w:rPr>
                <w:b/>
              </w:rPr>
            </w:pPr>
            <w:r w:rsidRPr="00D64233">
              <w:rPr>
                <w:b/>
              </w:rPr>
              <w:t>£000’s</w:t>
            </w:r>
          </w:p>
        </w:tc>
        <w:tc>
          <w:tcPr>
            <w:tcW w:w="1507" w:type="dxa"/>
            <w:shd w:val="clear" w:color="auto" w:fill="EEECE1"/>
          </w:tcPr>
          <w:p w14:paraId="1B254135" w14:textId="77777777" w:rsidR="005520FB" w:rsidRPr="00D64233" w:rsidRDefault="005520FB" w:rsidP="000F7BF7">
            <w:pPr>
              <w:tabs>
                <w:tab w:val="left" w:pos="2160"/>
              </w:tabs>
              <w:spacing w:after="120"/>
              <w:ind w:right="386"/>
              <w:jc w:val="center"/>
              <w:rPr>
                <w:b/>
              </w:rPr>
            </w:pPr>
            <w:r w:rsidRPr="00D64233">
              <w:rPr>
                <w:b/>
              </w:rPr>
              <w:t>£000’s</w:t>
            </w:r>
          </w:p>
        </w:tc>
        <w:tc>
          <w:tcPr>
            <w:tcW w:w="1496" w:type="dxa"/>
            <w:shd w:val="clear" w:color="auto" w:fill="EEECE1"/>
          </w:tcPr>
          <w:p w14:paraId="7F435E80" w14:textId="77777777" w:rsidR="005520FB" w:rsidRPr="00D64233" w:rsidRDefault="005520FB" w:rsidP="000F7BF7">
            <w:pPr>
              <w:tabs>
                <w:tab w:val="left" w:pos="2160"/>
              </w:tabs>
              <w:spacing w:after="120"/>
              <w:ind w:right="386"/>
              <w:jc w:val="center"/>
              <w:rPr>
                <w:b/>
              </w:rPr>
            </w:pPr>
            <w:r w:rsidRPr="00D64233">
              <w:rPr>
                <w:b/>
              </w:rPr>
              <w:t>£000’s</w:t>
            </w:r>
          </w:p>
        </w:tc>
        <w:tc>
          <w:tcPr>
            <w:tcW w:w="1496" w:type="dxa"/>
            <w:shd w:val="clear" w:color="auto" w:fill="EEECE1"/>
          </w:tcPr>
          <w:p w14:paraId="568D42F1" w14:textId="77777777" w:rsidR="005520FB" w:rsidRPr="00D64233" w:rsidRDefault="005520FB" w:rsidP="000F7BF7">
            <w:pPr>
              <w:tabs>
                <w:tab w:val="left" w:pos="2160"/>
              </w:tabs>
              <w:spacing w:after="120"/>
              <w:ind w:right="386"/>
              <w:jc w:val="center"/>
              <w:rPr>
                <w:b/>
              </w:rPr>
            </w:pPr>
            <w:r w:rsidRPr="00D64233">
              <w:rPr>
                <w:b/>
              </w:rPr>
              <w:t>£000’s</w:t>
            </w:r>
          </w:p>
        </w:tc>
      </w:tr>
      <w:tr w:rsidR="005520FB" w:rsidRPr="00D64233" w14:paraId="3979FCE0" w14:textId="77777777" w:rsidTr="00942056">
        <w:tc>
          <w:tcPr>
            <w:tcW w:w="3034" w:type="dxa"/>
            <w:shd w:val="clear" w:color="auto" w:fill="auto"/>
          </w:tcPr>
          <w:p w14:paraId="4176A9DB" w14:textId="77777777" w:rsidR="005520FB" w:rsidRPr="00D64233" w:rsidRDefault="005520FB" w:rsidP="000F7BF7">
            <w:pPr>
              <w:tabs>
                <w:tab w:val="left" w:pos="2160"/>
              </w:tabs>
              <w:spacing w:after="120"/>
              <w:ind w:right="386"/>
            </w:pPr>
            <w:r w:rsidRPr="00D64233">
              <w:t xml:space="preserve">Total </w:t>
            </w:r>
            <w:r w:rsidR="00B56414" w:rsidRPr="00D64233">
              <w:t xml:space="preserve">cumulative </w:t>
            </w:r>
            <w:r w:rsidRPr="00D64233">
              <w:t>Savings</w:t>
            </w:r>
            <w:r w:rsidR="00B56414" w:rsidRPr="00D64233">
              <w:t xml:space="preserve"> in plan</w:t>
            </w:r>
          </w:p>
        </w:tc>
        <w:tc>
          <w:tcPr>
            <w:tcW w:w="1470" w:type="dxa"/>
            <w:shd w:val="clear" w:color="auto" w:fill="auto"/>
          </w:tcPr>
          <w:p w14:paraId="005F16D8" w14:textId="77777777" w:rsidR="005520FB" w:rsidRPr="00D64233" w:rsidRDefault="00F2091E" w:rsidP="00DF3762">
            <w:pPr>
              <w:tabs>
                <w:tab w:val="left" w:pos="2160"/>
              </w:tabs>
              <w:spacing w:after="120"/>
              <w:jc w:val="right"/>
            </w:pPr>
            <w:r w:rsidRPr="00D64233">
              <w:t>(</w:t>
            </w:r>
            <w:r w:rsidR="00F1013B" w:rsidRPr="00D64233">
              <w:t>1,</w:t>
            </w:r>
            <w:r w:rsidR="00DF3762" w:rsidRPr="00D64233">
              <w:t>353</w:t>
            </w:r>
            <w:r w:rsidRPr="00D64233">
              <w:t>)</w:t>
            </w:r>
          </w:p>
        </w:tc>
        <w:tc>
          <w:tcPr>
            <w:tcW w:w="1507" w:type="dxa"/>
            <w:shd w:val="clear" w:color="auto" w:fill="auto"/>
          </w:tcPr>
          <w:p w14:paraId="5AFC1F9A" w14:textId="77777777" w:rsidR="005520FB" w:rsidRPr="00D64233" w:rsidRDefault="00F2091E" w:rsidP="00DF3762">
            <w:pPr>
              <w:tabs>
                <w:tab w:val="left" w:pos="1483"/>
                <w:tab w:val="left" w:pos="2160"/>
              </w:tabs>
              <w:spacing w:after="120"/>
              <w:jc w:val="right"/>
            </w:pPr>
            <w:r w:rsidRPr="00D64233">
              <w:t>(</w:t>
            </w:r>
            <w:r w:rsidR="002F2660" w:rsidRPr="00D64233">
              <w:t>3</w:t>
            </w:r>
            <w:r w:rsidR="00F1013B" w:rsidRPr="00D64233">
              <w:t>,</w:t>
            </w:r>
            <w:r w:rsidR="00DF3762" w:rsidRPr="00D64233">
              <w:t>027</w:t>
            </w:r>
            <w:r w:rsidRPr="00D64233">
              <w:t>)</w:t>
            </w:r>
          </w:p>
        </w:tc>
        <w:tc>
          <w:tcPr>
            <w:tcW w:w="1496" w:type="dxa"/>
            <w:shd w:val="clear" w:color="auto" w:fill="auto"/>
          </w:tcPr>
          <w:p w14:paraId="15554D90" w14:textId="77777777" w:rsidR="005520FB" w:rsidRPr="00D64233" w:rsidRDefault="00F2091E" w:rsidP="00DF3762">
            <w:pPr>
              <w:tabs>
                <w:tab w:val="left" w:pos="2160"/>
              </w:tabs>
              <w:spacing w:after="120"/>
              <w:jc w:val="right"/>
            </w:pPr>
            <w:r w:rsidRPr="00D64233">
              <w:t>(</w:t>
            </w:r>
            <w:r w:rsidR="00DF3762" w:rsidRPr="00D64233">
              <w:t>3,248</w:t>
            </w:r>
            <w:r w:rsidRPr="00D64233">
              <w:t>)</w:t>
            </w:r>
          </w:p>
        </w:tc>
        <w:tc>
          <w:tcPr>
            <w:tcW w:w="1496" w:type="dxa"/>
            <w:shd w:val="clear" w:color="auto" w:fill="auto"/>
          </w:tcPr>
          <w:p w14:paraId="048D3D6C" w14:textId="77777777" w:rsidR="005520FB" w:rsidRPr="00D64233" w:rsidRDefault="00F2091E" w:rsidP="00DF3762">
            <w:pPr>
              <w:tabs>
                <w:tab w:val="left" w:pos="2160"/>
              </w:tabs>
              <w:spacing w:after="120"/>
              <w:jc w:val="right"/>
            </w:pPr>
            <w:r w:rsidRPr="00D64233">
              <w:t>(</w:t>
            </w:r>
            <w:r w:rsidR="00DF3762" w:rsidRPr="00D64233">
              <w:t>3,549</w:t>
            </w:r>
            <w:r w:rsidRPr="00D64233">
              <w:t>)</w:t>
            </w:r>
          </w:p>
        </w:tc>
      </w:tr>
      <w:tr w:rsidR="00F2091E" w:rsidRPr="00D64233" w14:paraId="5DC64E4E" w14:textId="77777777" w:rsidTr="00942056">
        <w:tc>
          <w:tcPr>
            <w:tcW w:w="3034" w:type="dxa"/>
            <w:shd w:val="clear" w:color="auto" w:fill="auto"/>
          </w:tcPr>
          <w:p w14:paraId="17E6F066" w14:textId="77777777" w:rsidR="00F2091E" w:rsidRPr="00D64233" w:rsidRDefault="00F2091E" w:rsidP="000F7BF7">
            <w:pPr>
              <w:tabs>
                <w:tab w:val="left" w:pos="2160"/>
              </w:tabs>
              <w:spacing w:after="120"/>
              <w:ind w:right="386"/>
            </w:pPr>
            <w:r w:rsidRPr="00D64233">
              <w:t>Cumulative contingency</w:t>
            </w:r>
            <w:r w:rsidR="00000121" w:rsidRPr="00D64233">
              <w:t xml:space="preserve"> in MTFP </w:t>
            </w:r>
          </w:p>
        </w:tc>
        <w:tc>
          <w:tcPr>
            <w:tcW w:w="1470" w:type="dxa"/>
            <w:shd w:val="clear" w:color="auto" w:fill="auto"/>
          </w:tcPr>
          <w:p w14:paraId="11A1366D" w14:textId="77777777" w:rsidR="00F2091E" w:rsidRPr="00D64233" w:rsidRDefault="00DF3762" w:rsidP="005E4245">
            <w:pPr>
              <w:tabs>
                <w:tab w:val="left" w:pos="2160"/>
              </w:tabs>
              <w:spacing w:after="120"/>
              <w:jc w:val="right"/>
            </w:pPr>
            <w:r w:rsidRPr="00D64233">
              <w:t>145</w:t>
            </w:r>
          </w:p>
        </w:tc>
        <w:tc>
          <w:tcPr>
            <w:tcW w:w="1507" w:type="dxa"/>
            <w:shd w:val="clear" w:color="auto" w:fill="auto"/>
          </w:tcPr>
          <w:p w14:paraId="70B19E01" w14:textId="77777777" w:rsidR="00F2091E" w:rsidRPr="00D64233" w:rsidRDefault="00DF3762" w:rsidP="005E4245">
            <w:pPr>
              <w:tabs>
                <w:tab w:val="left" w:pos="1483"/>
                <w:tab w:val="left" w:pos="2160"/>
              </w:tabs>
              <w:spacing w:after="120"/>
              <w:jc w:val="right"/>
            </w:pPr>
            <w:r w:rsidRPr="00D64233">
              <w:t>271</w:t>
            </w:r>
          </w:p>
        </w:tc>
        <w:tc>
          <w:tcPr>
            <w:tcW w:w="1496" w:type="dxa"/>
            <w:shd w:val="clear" w:color="auto" w:fill="auto"/>
          </w:tcPr>
          <w:p w14:paraId="69078538" w14:textId="77777777" w:rsidR="00F2091E" w:rsidRPr="00D64233" w:rsidRDefault="00DF3762" w:rsidP="005E4245">
            <w:pPr>
              <w:tabs>
                <w:tab w:val="left" w:pos="2160"/>
              </w:tabs>
              <w:spacing w:after="120"/>
              <w:jc w:val="right"/>
            </w:pPr>
            <w:r w:rsidRPr="00D64233">
              <w:t>300</w:t>
            </w:r>
          </w:p>
        </w:tc>
        <w:tc>
          <w:tcPr>
            <w:tcW w:w="1496" w:type="dxa"/>
            <w:shd w:val="clear" w:color="auto" w:fill="auto"/>
          </w:tcPr>
          <w:p w14:paraId="608EB518" w14:textId="77777777" w:rsidR="00F2091E" w:rsidRPr="00D64233" w:rsidRDefault="00DF3762" w:rsidP="00002ACC">
            <w:pPr>
              <w:tabs>
                <w:tab w:val="left" w:pos="2160"/>
              </w:tabs>
              <w:spacing w:after="120"/>
              <w:jc w:val="right"/>
            </w:pPr>
            <w:r w:rsidRPr="00D64233">
              <w:t>341</w:t>
            </w:r>
          </w:p>
        </w:tc>
      </w:tr>
      <w:tr w:rsidR="005520FB" w:rsidRPr="00D64233" w14:paraId="3F4D385A" w14:textId="77777777" w:rsidTr="00942056">
        <w:tc>
          <w:tcPr>
            <w:tcW w:w="3034" w:type="dxa"/>
            <w:shd w:val="clear" w:color="auto" w:fill="auto"/>
          </w:tcPr>
          <w:p w14:paraId="1BB6F874" w14:textId="77777777" w:rsidR="005520FB" w:rsidRPr="00D64233" w:rsidRDefault="005520FB" w:rsidP="000F7BF7">
            <w:pPr>
              <w:tabs>
                <w:tab w:val="left" w:pos="2160"/>
              </w:tabs>
              <w:spacing w:after="120"/>
              <w:ind w:right="386"/>
            </w:pPr>
            <w:r w:rsidRPr="00D64233">
              <w:t>% of total savings</w:t>
            </w:r>
            <w:r w:rsidR="00000121" w:rsidRPr="00D64233">
              <w:t xml:space="preserve"> covered by contingency</w:t>
            </w:r>
          </w:p>
        </w:tc>
        <w:tc>
          <w:tcPr>
            <w:tcW w:w="1470" w:type="dxa"/>
            <w:shd w:val="clear" w:color="auto" w:fill="auto"/>
          </w:tcPr>
          <w:p w14:paraId="5566461E" w14:textId="77777777" w:rsidR="005520FB" w:rsidRPr="00D64233" w:rsidRDefault="00D64233" w:rsidP="002F2660">
            <w:pPr>
              <w:tabs>
                <w:tab w:val="left" w:pos="2160"/>
              </w:tabs>
              <w:spacing w:after="120"/>
              <w:jc w:val="right"/>
            </w:pPr>
            <w:r w:rsidRPr="00D64233">
              <w:t>10.7</w:t>
            </w:r>
          </w:p>
        </w:tc>
        <w:tc>
          <w:tcPr>
            <w:tcW w:w="1507" w:type="dxa"/>
            <w:shd w:val="clear" w:color="auto" w:fill="auto"/>
          </w:tcPr>
          <w:p w14:paraId="4F9CCDC8" w14:textId="77777777" w:rsidR="005520FB" w:rsidRPr="00D64233" w:rsidRDefault="00D64233" w:rsidP="002F2660">
            <w:pPr>
              <w:tabs>
                <w:tab w:val="left" w:pos="1483"/>
                <w:tab w:val="left" w:pos="2160"/>
              </w:tabs>
              <w:spacing w:after="120"/>
              <w:jc w:val="right"/>
            </w:pPr>
            <w:r w:rsidRPr="00D64233">
              <w:t>9.0</w:t>
            </w:r>
          </w:p>
        </w:tc>
        <w:tc>
          <w:tcPr>
            <w:tcW w:w="1496" w:type="dxa"/>
            <w:shd w:val="clear" w:color="auto" w:fill="auto"/>
          </w:tcPr>
          <w:p w14:paraId="4D8F462D" w14:textId="77777777" w:rsidR="005520FB" w:rsidRPr="00D64233" w:rsidRDefault="00D64233" w:rsidP="002F2660">
            <w:pPr>
              <w:tabs>
                <w:tab w:val="left" w:pos="2160"/>
              </w:tabs>
              <w:spacing w:after="120"/>
              <w:jc w:val="right"/>
            </w:pPr>
            <w:r w:rsidRPr="00D64233">
              <w:t>9.2</w:t>
            </w:r>
          </w:p>
        </w:tc>
        <w:tc>
          <w:tcPr>
            <w:tcW w:w="1496" w:type="dxa"/>
            <w:shd w:val="clear" w:color="auto" w:fill="auto"/>
          </w:tcPr>
          <w:p w14:paraId="0C8401FF" w14:textId="77777777" w:rsidR="005520FB" w:rsidRPr="00D64233" w:rsidRDefault="00D64233" w:rsidP="002F2660">
            <w:pPr>
              <w:tabs>
                <w:tab w:val="left" w:pos="2160"/>
              </w:tabs>
              <w:spacing w:after="120"/>
              <w:jc w:val="right"/>
            </w:pPr>
            <w:r w:rsidRPr="00D64233">
              <w:t>9.6</w:t>
            </w:r>
          </w:p>
        </w:tc>
      </w:tr>
    </w:tbl>
    <w:p w14:paraId="5A754F2E" w14:textId="77777777" w:rsidR="00D7471D" w:rsidRPr="002C2483" w:rsidRDefault="00D7471D" w:rsidP="009172F5">
      <w:pPr>
        <w:ind w:right="386"/>
        <w:rPr>
          <w:highlight w:val="yellow"/>
        </w:rPr>
      </w:pPr>
    </w:p>
    <w:p w14:paraId="616B8F38" w14:textId="02791D76" w:rsidR="004F0F6F" w:rsidRPr="00F96498" w:rsidRDefault="009410B2" w:rsidP="00942056">
      <w:pPr>
        <w:ind w:left="567" w:right="386" w:hanging="567"/>
        <w:rPr>
          <w:b/>
          <w:u w:val="single"/>
        </w:rPr>
      </w:pPr>
      <w:r>
        <w:t>3</w:t>
      </w:r>
      <w:r w:rsidR="009E1C3C">
        <w:t>2</w:t>
      </w:r>
      <w:r w:rsidR="00D7471D" w:rsidRPr="00F96498">
        <w:tab/>
      </w:r>
      <w:r w:rsidR="00D441EF" w:rsidRPr="00F96498">
        <w:t xml:space="preserve">Set against a background </w:t>
      </w:r>
      <w:r w:rsidR="008D634F" w:rsidRPr="00F96498">
        <w:t>of uncertainty</w:t>
      </w:r>
      <w:r w:rsidR="00D441EF" w:rsidRPr="00F96498">
        <w:t xml:space="preserve"> new items of </w:t>
      </w:r>
      <w:r w:rsidR="00640565">
        <w:t xml:space="preserve">ongoing revenue </w:t>
      </w:r>
      <w:r w:rsidR="00D441EF" w:rsidRPr="00F96498">
        <w:t xml:space="preserve">expenditure </w:t>
      </w:r>
      <w:r w:rsidR="00640565">
        <w:t>are limited</w:t>
      </w:r>
      <w:r w:rsidR="00BF6C89">
        <w:t xml:space="preserve"> and </w:t>
      </w:r>
      <w:r w:rsidR="008D634F" w:rsidRPr="00F96498">
        <w:t xml:space="preserve">total around £1 million </w:t>
      </w:r>
      <w:r w:rsidR="00D441EF" w:rsidRPr="00F96498">
        <w:t xml:space="preserve">are shown </w:t>
      </w:r>
      <w:r w:rsidR="00793701" w:rsidRPr="00F96498">
        <w:t>in Appendix 3</w:t>
      </w:r>
      <w:r w:rsidR="00094E55">
        <w:t>.  The</w:t>
      </w:r>
      <w:r w:rsidR="00D441EF" w:rsidRPr="00F96498">
        <w:t xml:space="preserve"> most significant </w:t>
      </w:r>
      <w:proofErr w:type="gramStart"/>
      <w:r w:rsidR="00D441EF" w:rsidRPr="00F96498">
        <w:t xml:space="preserve">being </w:t>
      </w:r>
      <w:r w:rsidR="00D7471D" w:rsidRPr="00F96498">
        <w:t>:</w:t>
      </w:r>
      <w:proofErr w:type="gramEnd"/>
    </w:p>
    <w:p w14:paraId="76624CAE" w14:textId="77777777" w:rsidR="004F0F6F" w:rsidRPr="00F96498" w:rsidRDefault="004F0F6F" w:rsidP="009736F2">
      <w:pPr>
        <w:ind w:right="386" w:firstLine="720"/>
        <w:rPr>
          <w:b/>
        </w:rPr>
      </w:pPr>
    </w:p>
    <w:p w14:paraId="34249A49" w14:textId="414597D4" w:rsidR="00A20A09" w:rsidRPr="00925B76" w:rsidRDefault="00D441EF" w:rsidP="00D441EF">
      <w:pPr>
        <w:numPr>
          <w:ilvl w:val="0"/>
          <w:numId w:val="30"/>
        </w:numPr>
        <w:ind w:right="386"/>
      </w:pPr>
      <w:r w:rsidRPr="00925B76">
        <w:rPr>
          <w:b/>
        </w:rPr>
        <w:t>Economic Development - £125k</w:t>
      </w:r>
      <w:r w:rsidRPr="00925B76">
        <w:t xml:space="preserve">  - inclusion of posts in economic regeneration and </w:t>
      </w:r>
      <w:r w:rsidR="00951B37">
        <w:t>city centre</w:t>
      </w:r>
      <w:r w:rsidR="00EC3D17">
        <w:t xml:space="preserve"> </w:t>
      </w:r>
      <w:r w:rsidRPr="00925B76">
        <w:t xml:space="preserve">management largely arising from the withdrawal of County Council funding </w:t>
      </w:r>
    </w:p>
    <w:p w14:paraId="7B3FABB9" w14:textId="5A53AC54" w:rsidR="00D441EF" w:rsidRPr="00925B76" w:rsidRDefault="00D441EF" w:rsidP="00D441EF">
      <w:pPr>
        <w:numPr>
          <w:ilvl w:val="0"/>
          <w:numId w:val="30"/>
        </w:numPr>
        <w:ind w:right="386"/>
      </w:pPr>
      <w:r w:rsidRPr="007E356F">
        <w:rPr>
          <w:b/>
        </w:rPr>
        <w:t>Pl</w:t>
      </w:r>
      <w:r w:rsidRPr="00925B76">
        <w:rPr>
          <w:b/>
        </w:rPr>
        <w:t>anning Services - £71k –</w:t>
      </w:r>
      <w:r w:rsidRPr="00925B76">
        <w:t xml:space="preserve"> </w:t>
      </w:r>
      <w:r w:rsidR="00A83682">
        <w:t xml:space="preserve">additional </w:t>
      </w:r>
      <w:r w:rsidRPr="00925B76">
        <w:t xml:space="preserve">posts </w:t>
      </w:r>
      <w:r w:rsidR="00A83443">
        <w:t>to ensure the robustness of the service going forward</w:t>
      </w:r>
    </w:p>
    <w:p w14:paraId="54ABC3CE" w14:textId="77777777" w:rsidR="00D441EF" w:rsidRPr="007E356F" w:rsidRDefault="00D441EF" w:rsidP="007E356F">
      <w:pPr>
        <w:pStyle w:val="ListParagraph"/>
        <w:numPr>
          <w:ilvl w:val="0"/>
          <w:numId w:val="30"/>
        </w:numPr>
        <w:rPr>
          <w:highlight w:val="yellow"/>
        </w:rPr>
      </w:pPr>
      <w:r w:rsidRPr="007E356F">
        <w:rPr>
          <w:b/>
        </w:rPr>
        <w:t xml:space="preserve">Conservation Appraisal </w:t>
      </w:r>
      <w:r w:rsidR="00A83682" w:rsidRPr="007E356F">
        <w:rPr>
          <w:b/>
        </w:rPr>
        <w:t>–</w:t>
      </w:r>
      <w:r w:rsidRPr="007E356F">
        <w:rPr>
          <w:b/>
        </w:rPr>
        <w:t xml:space="preserve"> </w:t>
      </w:r>
      <w:r w:rsidR="00A83682" w:rsidRPr="007E356F">
        <w:rPr>
          <w:b/>
        </w:rPr>
        <w:t xml:space="preserve">one off </w:t>
      </w:r>
      <w:r w:rsidRPr="007E356F">
        <w:rPr>
          <w:b/>
        </w:rPr>
        <w:t>£50k</w:t>
      </w:r>
      <w:r w:rsidRPr="007E356F">
        <w:t xml:space="preserve"> - </w:t>
      </w:r>
      <w:r w:rsidR="00937E73" w:rsidRPr="007E356F">
        <w:t>this is a contribution towards the fu</w:t>
      </w:r>
      <w:r w:rsidR="00937E73">
        <w:t xml:space="preserve">nding of an appraisal of our central conservation area – this is a study that will support delivery of growth, support better decisions (by having up to date information that will help us with planning applications and at appeal if those circumstances apply) and feed into the </w:t>
      </w:r>
      <w:r w:rsidR="00937E73" w:rsidRPr="00937E73">
        <w:t>local plan.</w:t>
      </w:r>
    </w:p>
    <w:p w14:paraId="5C838961" w14:textId="40C883AB" w:rsidR="00D441EF" w:rsidRPr="00925B76" w:rsidRDefault="00A83443" w:rsidP="00D441EF">
      <w:pPr>
        <w:numPr>
          <w:ilvl w:val="0"/>
          <w:numId w:val="30"/>
        </w:numPr>
        <w:ind w:right="386"/>
      </w:pPr>
      <w:r>
        <w:rPr>
          <w:b/>
        </w:rPr>
        <w:t xml:space="preserve">Planned </w:t>
      </w:r>
      <w:r w:rsidR="00D441EF" w:rsidRPr="00925B76">
        <w:rPr>
          <w:b/>
        </w:rPr>
        <w:t xml:space="preserve">Repairs </w:t>
      </w:r>
      <w:r>
        <w:rPr>
          <w:b/>
        </w:rPr>
        <w:t>and Maintenance</w:t>
      </w:r>
      <w:r w:rsidR="00D441EF" w:rsidRPr="00925B76">
        <w:rPr>
          <w:b/>
        </w:rPr>
        <w:t xml:space="preserve">-£400k per annum </w:t>
      </w:r>
      <w:r w:rsidR="008D634F" w:rsidRPr="00925B76">
        <w:rPr>
          <w:b/>
        </w:rPr>
        <w:t xml:space="preserve">– </w:t>
      </w:r>
      <w:r w:rsidR="008D634F" w:rsidRPr="00925B76">
        <w:t xml:space="preserve">a recent stock condition survey of council buildings has revealed backlog repairs of around </w:t>
      </w:r>
      <w:r w:rsidR="004E5C93" w:rsidRPr="00925B76">
        <w:t>£7.5 million</w:t>
      </w:r>
      <w:r w:rsidR="008D634F" w:rsidRPr="00925B76">
        <w:t xml:space="preserve">. An increase of £400k per annum in addition to £600k existing budget and a one off £500k from capital still leaves a backlog of around </w:t>
      </w:r>
      <w:r w:rsidR="004E5C93" w:rsidRPr="00925B76">
        <w:t>£2.7 million</w:t>
      </w:r>
      <w:r w:rsidR="008D634F" w:rsidRPr="00925B76">
        <w:t xml:space="preserve"> at the end of the four year period</w:t>
      </w:r>
      <w:r w:rsidR="008D634F" w:rsidRPr="00925B76">
        <w:rPr>
          <w:b/>
        </w:rPr>
        <w:t>.</w:t>
      </w:r>
    </w:p>
    <w:p w14:paraId="3D3A3C62" w14:textId="77777777" w:rsidR="00AF4153" w:rsidRPr="00925B76" w:rsidRDefault="00AF4153" w:rsidP="00D441EF">
      <w:pPr>
        <w:numPr>
          <w:ilvl w:val="0"/>
          <w:numId w:val="30"/>
        </w:numPr>
        <w:ind w:right="386"/>
      </w:pPr>
      <w:r w:rsidRPr="00925B76">
        <w:rPr>
          <w:b/>
        </w:rPr>
        <w:t xml:space="preserve">Apprenticeship Levy - £175k </w:t>
      </w:r>
      <w:r w:rsidR="008D634F" w:rsidRPr="00925B76">
        <w:rPr>
          <w:b/>
        </w:rPr>
        <w:t xml:space="preserve">– </w:t>
      </w:r>
      <w:r w:rsidR="008D634F" w:rsidRPr="00925B76">
        <w:t xml:space="preserve">the Government have introduced a </w:t>
      </w:r>
      <w:r w:rsidR="00A83682">
        <w:t xml:space="preserve">0.5% </w:t>
      </w:r>
      <w:r w:rsidR="008D634F" w:rsidRPr="00925B76">
        <w:t>levy for all businesses</w:t>
      </w:r>
      <w:r w:rsidR="004E5C93" w:rsidRPr="00925B76">
        <w:t xml:space="preserve"> with a payroll bill in excess of £3million. </w:t>
      </w:r>
      <w:r w:rsidR="00A83682">
        <w:t>L</w:t>
      </w:r>
      <w:r w:rsidR="004E5C93" w:rsidRPr="00925B76">
        <w:t xml:space="preserve">evy funds can be used to offset </w:t>
      </w:r>
      <w:r w:rsidR="00A83682">
        <w:t xml:space="preserve">80% </w:t>
      </w:r>
      <w:r w:rsidR="004E5C93" w:rsidRPr="00925B76">
        <w:t>training costs for apprentices</w:t>
      </w:r>
      <w:r w:rsidR="004E5C93" w:rsidRPr="00925B76">
        <w:rPr>
          <w:b/>
        </w:rPr>
        <w:t>.</w:t>
      </w:r>
    </w:p>
    <w:p w14:paraId="7E2B55E3" w14:textId="77777777" w:rsidR="00AF4153" w:rsidRPr="00925B76" w:rsidRDefault="00AF4153" w:rsidP="00D441EF">
      <w:pPr>
        <w:numPr>
          <w:ilvl w:val="0"/>
          <w:numId w:val="30"/>
        </w:numPr>
        <w:ind w:right="386"/>
      </w:pPr>
      <w:r w:rsidRPr="00925B76">
        <w:rPr>
          <w:b/>
        </w:rPr>
        <w:lastRenderedPageBreak/>
        <w:t>Digital Inclusion - £15k for 2 years</w:t>
      </w:r>
      <w:r w:rsidR="00925B76">
        <w:rPr>
          <w:b/>
        </w:rPr>
        <w:t xml:space="preserve"> – </w:t>
      </w:r>
      <w:r w:rsidR="00925B76" w:rsidRPr="00925B76">
        <w:t>consultancy to design digital services that enable our customers to more easily engage with council services on line</w:t>
      </w:r>
    </w:p>
    <w:p w14:paraId="5F8AE0F2" w14:textId="77777777" w:rsidR="00AF4153" w:rsidRPr="00925B76" w:rsidRDefault="00AF4153" w:rsidP="00D441EF">
      <w:pPr>
        <w:numPr>
          <w:ilvl w:val="0"/>
          <w:numId w:val="30"/>
        </w:numPr>
        <w:ind w:right="386"/>
      </w:pPr>
      <w:r w:rsidRPr="00925B76">
        <w:rPr>
          <w:b/>
        </w:rPr>
        <w:t xml:space="preserve">Individual Electronic Registration - £97k </w:t>
      </w:r>
      <w:proofErr w:type="gramStart"/>
      <w:r w:rsidR="008D4F4C" w:rsidRPr="00925B76">
        <w:t>The</w:t>
      </w:r>
      <w:proofErr w:type="gramEnd"/>
      <w:r w:rsidR="008D4F4C" w:rsidRPr="00925B76">
        <w:t xml:space="preserve"> additional budget covers the cost of 2 additional staff brought in to undertake the work together with supplies to run the process after the Government grant is removed.</w:t>
      </w:r>
    </w:p>
    <w:p w14:paraId="6DE48AF0" w14:textId="77777777" w:rsidR="00AF4153" w:rsidRPr="00925B76" w:rsidRDefault="00AF4153" w:rsidP="00D441EF">
      <w:pPr>
        <w:numPr>
          <w:ilvl w:val="0"/>
          <w:numId w:val="30"/>
        </w:numPr>
        <w:ind w:right="386"/>
      </w:pPr>
      <w:r w:rsidRPr="00925B76">
        <w:rPr>
          <w:b/>
        </w:rPr>
        <w:t>Committee administration - £23k</w:t>
      </w:r>
      <w:r w:rsidR="008D4F4C" w:rsidRPr="00925B76">
        <w:rPr>
          <w:b/>
        </w:rPr>
        <w:t xml:space="preserve">- </w:t>
      </w:r>
      <w:r w:rsidR="008D4F4C" w:rsidRPr="00925B76">
        <w:t>represents the bal</w:t>
      </w:r>
      <w:r w:rsidR="00925B76">
        <w:t>a</w:t>
      </w:r>
      <w:r w:rsidR="008D4F4C" w:rsidRPr="00925B76">
        <w:t xml:space="preserve">nce of staffing costs net </w:t>
      </w:r>
      <w:r w:rsidR="00A83682">
        <w:t xml:space="preserve">of </w:t>
      </w:r>
      <w:r w:rsidR="008D4F4C" w:rsidRPr="00925B76">
        <w:t xml:space="preserve">income from the Housing Company and </w:t>
      </w:r>
      <w:proofErr w:type="spellStart"/>
      <w:r w:rsidR="008D4F4C" w:rsidRPr="00925B76">
        <w:t>Oxwed</w:t>
      </w:r>
      <w:proofErr w:type="spellEnd"/>
      <w:r w:rsidR="008D4F4C" w:rsidRPr="00925B76">
        <w:t xml:space="preserve"> </w:t>
      </w:r>
    </w:p>
    <w:p w14:paraId="73B31005" w14:textId="77777777" w:rsidR="00AF4153" w:rsidRPr="00925B76" w:rsidRDefault="00AF4153" w:rsidP="00D441EF">
      <w:pPr>
        <w:numPr>
          <w:ilvl w:val="0"/>
          <w:numId w:val="30"/>
        </w:numPr>
        <w:ind w:right="386"/>
      </w:pPr>
      <w:r w:rsidRPr="00925B76">
        <w:rPr>
          <w:b/>
        </w:rPr>
        <w:t>Go Ultra Low project manager £15k per annum</w:t>
      </w:r>
      <w:r w:rsidR="008D4F4C" w:rsidRPr="00925B76">
        <w:rPr>
          <w:b/>
        </w:rPr>
        <w:t xml:space="preserve"> for one year- </w:t>
      </w:r>
      <w:r w:rsidR="008D4F4C" w:rsidRPr="00925B76">
        <w:t>relates to part time officer to assist in the running of the GULO project</w:t>
      </w:r>
    </w:p>
    <w:p w14:paraId="377A9351" w14:textId="77777777" w:rsidR="00AF4153" w:rsidRPr="00EA4567" w:rsidRDefault="00AF4153" w:rsidP="00D441EF">
      <w:pPr>
        <w:numPr>
          <w:ilvl w:val="0"/>
          <w:numId w:val="30"/>
        </w:numPr>
        <w:ind w:right="386"/>
      </w:pPr>
      <w:r w:rsidRPr="00B835F6">
        <w:rPr>
          <w:b/>
        </w:rPr>
        <w:t>Oxford Living Wage -£35k per annum</w:t>
      </w:r>
      <w:r w:rsidR="008D634F" w:rsidRPr="00B835F6">
        <w:rPr>
          <w:b/>
        </w:rPr>
        <w:t xml:space="preserve"> –</w:t>
      </w:r>
      <w:r w:rsidR="008D4F4C" w:rsidRPr="00B835F6">
        <w:rPr>
          <w:b/>
        </w:rPr>
        <w:t xml:space="preserve"> </w:t>
      </w:r>
      <w:r w:rsidR="00B835F6" w:rsidRPr="00B835F6">
        <w:t xml:space="preserve">this budget ensures that the Oxford Living wage is maintained for staff working within the </w:t>
      </w:r>
      <w:r w:rsidR="007F41B1" w:rsidRPr="00B835F6">
        <w:t>Leisure</w:t>
      </w:r>
      <w:r w:rsidR="008D4F4C" w:rsidRPr="00B835F6">
        <w:t xml:space="preserve"> </w:t>
      </w:r>
      <w:r w:rsidR="008D4F4C" w:rsidRPr="00EA4567">
        <w:t xml:space="preserve">services </w:t>
      </w:r>
      <w:r w:rsidR="00B835F6" w:rsidRPr="00EA4567">
        <w:t>partnership, above the contractual requirement</w:t>
      </w:r>
      <w:r w:rsidR="008D4F4C" w:rsidRPr="00EA4567">
        <w:rPr>
          <w:b/>
        </w:rPr>
        <w:t xml:space="preserve"> </w:t>
      </w:r>
    </w:p>
    <w:p w14:paraId="74725BDF" w14:textId="77777777" w:rsidR="00AF4153" w:rsidRPr="00EA4567" w:rsidRDefault="00AF4153" w:rsidP="008D634F">
      <w:pPr>
        <w:ind w:left="1287" w:right="386"/>
      </w:pPr>
    </w:p>
    <w:p w14:paraId="5D6CF9F5" w14:textId="74621210" w:rsidR="00DE3FBB" w:rsidRPr="00EA4567" w:rsidRDefault="009410B2" w:rsidP="009172F5">
      <w:pPr>
        <w:ind w:left="567" w:right="386" w:hanging="567"/>
      </w:pPr>
      <w:r>
        <w:t>3</w:t>
      </w:r>
      <w:r w:rsidR="009E1C3C">
        <w:t>3</w:t>
      </w:r>
      <w:r w:rsidR="00800D2A" w:rsidRPr="00EA4567">
        <w:rPr>
          <w:sz w:val="22"/>
          <w:szCs w:val="22"/>
        </w:rPr>
        <w:tab/>
      </w:r>
      <w:r w:rsidR="0000468F" w:rsidRPr="00EA4567">
        <w:t xml:space="preserve">The </w:t>
      </w:r>
      <w:r w:rsidR="009431D6" w:rsidRPr="00EA4567">
        <w:t xml:space="preserve">Council’s </w:t>
      </w:r>
      <w:r w:rsidR="00E90B63" w:rsidRPr="00EA4567">
        <w:t>G</w:t>
      </w:r>
      <w:r w:rsidR="009431D6" w:rsidRPr="00EA4567">
        <w:t xml:space="preserve">eneral </w:t>
      </w:r>
      <w:r w:rsidR="00E90B63" w:rsidRPr="00EA4567">
        <w:t>F</w:t>
      </w:r>
      <w:r w:rsidR="009431D6" w:rsidRPr="00EA4567">
        <w:t>und Budget for Consultation is set out in Appendi</w:t>
      </w:r>
      <w:r w:rsidR="00A83682">
        <w:t>ces</w:t>
      </w:r>
      <w:r w:rsidR="009431D6" w:rsidRPr="00EA4567">
        <w:t xml:space="preserve"> 1</w:t>
      </w:r>
      <w:r w:rsidR="00B43878" w:rsidRPr="00EA4567">
        <w:t>, 2 and 3</w:t>
      </w:r>
      <w:r w:rsidR="005A4481" w:rsidRPr="00EA4567">
        <w:t xml:space="preserve"> </w:t>
      </w:r>
      <w:r w:rsidR="009E7E43" w:rsidRPr="00EA4567">
        <w:t xml:space="preserve">attached </w:t>
      </w:r>
      <w:r w:rsidR="005A4481" w:rsidRPr="00EA4567">
        <w:t xml:space="preserve">and </w:t>
      </w:r>
      <w:r w:rsidR="006017B0" w:rsidRPr="00EA4567">
        <w:t>summarised</w:t>
      </w:r>
      <w:r w:rsidR="009E7E43" w:rsidRPr="00EA4567">
        <w:t xml:space="preserve"> </w:t>
      </w:r>
      <w:r w:rsidR="00E462AA" w:rsidRPr="00EA4567">
        <w:t>below:</w:t>
      </w:r>
    </w:p>
    <w:p w14:paraId="38BE20AB" w14:textId="77777777" w:rsidR="00EF551F" w:rsidRPr="00EA4567" w:rsidRDefault="00EF551F" w:rsidP="00942056">
      <w:pPr>
        <w:ind w:left="567" w:right="386" w:hanging="567"/>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1944"/>
        <w:gridCol w:w="1701"/>
        <w:gridCol w:w="1470"/>
      </w:tblGrid>
      <w:tr w:rsidR="00B47C41" w:rsidRPr="00EA4567" w14:paraId="77F7B052" w14:textId="77777777" w:rsidTr="005E4245">
        <w:tc>
          <w:tcPr>
            <w:tcW w:w="10185" w:type="dxa"/>
            <w:gridSpan w:val="5"/>
            <w:shd w:val="clear" w:color="auto" w:fill="auto"/>
          </w:tcPr>
          <w:p w14:paraId="70F812D7" w14:textId="77777777" w:rsidR="00B47C41" w:rsidRPr="00EA4567" w:rsidRDefault="00165A9E" w:rsidP="00F00A73">
            <w:pPr>
              <w:ind w:right="386"/>
              <w:rPr>
                <w:b/>
              </w:rPr>
            </w:pPr>
            <w:r w:rsidRPr="00EA4567">
              <w:rPr>
                <w:b/>
              </w:rPr>
              <w:t xml:space="preserve">Table </w:t>
            </w:r>
            <w:r w:rsidR="0010427B">
              <w:rPr>
                <w:b/>
              </w:rPr>
              <w:t>8</w:t>
            </w:r>
            <w:r w:rsidR="00B47C41" w:rsidRPr="00EA4567">
              <w:rPr>
                <w:b/>
              </w:rPr>
              <w:t xml:space="preserve"> :  Summary General Fund Medium Term Financial Plan 201</w:t>
            </w:r>
            <w:r w:rsidR="00F00A73" w:rsidRPr="00EA4567">
              <w:rPr>
                <w:b/>
              </w:rPr>
              <w:t>7</w:t>
            </w:r>
            <w:r w:rsidR="00B47C41" w:rsidRPr="00EA4567">
              <w:rPr>
                <w:b/>
              </w:rPr>
              <w:t>/1</w:t>
            </w:r>
            <w:r w:rsidR="00F00A73" w:rsidRPr="00EA4567">
              <w:rPr>
                <w:b/>
              </w:rPr>
              <w:t>8</w:t>
            </w:r>
            <w:r w:rsidR="00B47C41" w:rsidRPr="00EA4567">
              <w:rPr>
                <w:b/>
              </w:rPr>
              <w:t xml:space="preserve"> to 20</w:t>
            </w:r>
            <w:r w:rsidR="00F00A73" w:rsidRPr="00EA4567">
              <w:rPr>
                <w:b/>
              </w:rPr>
              <w:t>20</w:t>
            </w:r>
            <w:r w:rsidR="00B47C41" w:rsidRPr="00EA4567">
              <w:rPr>
                <w:b/>
              </w:rPr>
              <w:t>/</w:t>
            </w:r>
            <w:r w:rsidR="00793701" w:rsidRPr="00EA4567">
              <w:rPr>
                <w:b/>
              </w:rPr>
              <w:t>2</w:t>
            </w:r>
            <w:r w:rsidR="00F00A73" w:rsidRPr="00EA4567">
              <w:rPr>
                <w:b/>
              </w:rPr>
              <w:t>1</w:t>
            </w:r>
          </w:p>
        </w:tc>
      </w:tr>
      <w:tr w:rsidR="00F00A73" w:rsidRPr="00EA4567" w14:paraId="06D5371D" w14:textId="77777777" w:rsidTr="005E4245">
        <w:tc>
          <w:tcPr>
            <w:tcW w:w="3510" w:type="dxa"/>
          </w:tcPr>
          <w:p w14:paraId="7434417B" w14:textId="77777777" w:rsidR="00F00A73" w:rsidRPr="00EA4567" w:rsidRDefault="00F00A73" w:rsidP="00E444D2">
            <w:pPr>
              <w:ind w:right="386"/>
            </w:pPr>
          </w:p>
        </w:tc>
        <w:tc>
          <w:tcPr>
            <w:tcW w:w="1560" w:type="dxa"/>
            <w:shd w:val="clear" w:color="auto" w:fill="E0E0E0"/>
          </w:tcPr>
          <w:p w14:paraId="13C10A17" w14:textId="77777777" w:rsidR="00F00A73" w:rsidRPr="00EA4567" w:rsidRDefault="00F00A73" w:rsidP="00B22CFC">
            <w:pPr>
              <w:ind w:right="386"/>
              <w:rPr>
                <w:b/>
              </w:rPr>
            </w:pPr>
            <w:r w:rsidRPr="00EA4567">
              <w:rPr>
                <w:b/>
              </w:rPr>
              <w:t>2017/18</w:t>
            </w:r>
          </w:p>
        </w:tc>
        <w:tc>
          <w:tcPr>
            <w:tcW w:w="1944" w:type="dxa"/>
            <w:shd w:val="clear" w:color="auto" w:fill="E0E0E0"/>
          </w:tcPr>
          <w:p w14:paraId="6FACD850" w14:textId="77777777" w:rsidR="00F00A73" w:rsidRPr="00EA4567" w:rsidRDefault="00F00A73" w:rsidP="00B22CFC">
            <w:pPr>
              <w:ind w:right="386"/>
              <w:jc w:val="center"/>
              <w:rPr>
                <w:b/>
              </w:rPr>
            </w:pPr>
            <w:r w:rsidRPr="00EA4567">
              <w:rPr>
                <w:b/>
              </w:rPr>
              <w:t>2018/19</w:t>
            </w:r>
          </w:p>
        </w:tc>
        <w:tc>
          <w:tcPr>
            <w:tcW w:w="1701" w:type="dxa"/>
            <w:shd w:val="clear" w:color="auto" w:fill="E0E0E0"/>
          </w:tcPr>
          <w:p w14:paraId="54F36B99" w14:textId="77777777" w:rsidR="00F00A73" w:rsidRPr="00EA4567" w:rsidRDefault="00F00A73" w:rsidP="00B22CFC">
            <w:pPr>
              <w:ind w:right="386"/>
              <w:jc w:val="center"/>
              <w:rPr>
                <w:b/>
              </w:rPr>
            </w:pPr>
            <w:r w:rsidRPr="00EA4567">
              <w:rPr>
                <w:b/>
              </w:rPr>
              <w:t>2019/20</w:t>
            </w:r>
          </w:p>
        </w:tc>
        <w:tc>
          <w:tcPr>
            <w:tcW w:w="1470" w:type="dxa"/>
            <w:shd w:val="clear" w:color="auto" w:fill="E0E0E0"/>
          </w:tcPr>
          <w:p w14:paraId="1973B436" w14:textId="77777777" w:rsidR="00F00A73" w:rsidRPr="00EA4567" w:rsidRDefault="00F00A73" w:rsidP="00F00A73">
            <w:pPr>
              <w:ind w:right="386"/>
              <w:jc w:val="center"/>
              <w:rPr>
                <w:b/>
              </w:rPr>
            </w:pPr>
            <w:r w:rsidRPr="00EA4567">
              <w:rPr>
                <w:b/>
              </w:rPr>
              <w:t>2020/21</w:t>
            </w:r>
          </w:p>
        </w:tc>
      </w:tr>
      <w:tr w:rsidR="00F00A73" w:rsidRPr="00EA4567" w14:paraId="160C7232" w14:textId="77777777" w:rsidTr="005E4245">
        <w:tc>
          <w:tcPr>
            <w:tcW w:w="3510" w:type="dxa"/>
          </w:tcPr>
          <w:p w14:paraId="3CB00F8E" w14:textId="77777777" w:rsidR="00F00A73" w:rsidRPr="00EA4567" w:rsidRDefault="00F00A73" w:rsidP="00E444D2">
            <w:pPr>
              <w:ind w:right="386"/>
            </w:pPr>
          </w:p>
        </w:tc>
        <w:tc>
          <w:tcPr>
            <w:tcW w:w="1560" w:type="dxa"/>
            <w:shd w:val="clear" w:color="auto" w:fill="E0E0E0"/>
          </w:tcPr>
          <w:p w14:paraId="49518105" w14:textId="77777777" w:rsidR="00F00A73" w:rsidRPr="00EA4567" w:rsidRDefault="00F00A73" w:rsidP="00B22CFC">
            <w:pPr>
              <w:ind w:right="386"/>
              <w:jc w:val="center"/>
              <w:rPr>
                <w:b/>
              </w:rPr>
            </w:pPr>
            <w:r w:rsidRPr="00EA4567">
              <w:rPr>
                <w:b/>
              </w:rPr>
              <w:t>£000’s</w:t>
            </w:r>
          </w:p>
        </w:tc>
        <w:tc>
          <w:tcPr>
            <w:tcW w:w="1944" w:type="dxa"/>
            <w:shd w:val="clear" w:color="auto" w:fill="E0E0E0"/>
          </w:tcPr>
          <w:p w14:paraId="56CF6CC4" w14:textId="77777777" w:rsidR="00F00A73" w:rsidRPr="00EA4567" w:rsidRDefault="00F00A73" w:rsidP="00B22CFC">
            <w:pPr>
              <w:ind w:right="386"/>
              <w:jc w:val="center"/>
              <w:rPr>
                <w:b/>
              </w:rPr>
            </w:pPr>
            <w:r w:rsidRPr="00EA4567">
              <w:rPr>
                <w:b/>
              </w:rPr>
              <w:t>£000’s</w:t>
            </w:r>
          </w:p>
        </w:tc>
        <w:tc>
          <w:tcPr>
            <w:tcW w:w="1701" w:type="dxa"/>
            <w:shd w:val="clear" w:color="auto" w:fill="E0E0E0"/>
          </w:tcPr>
          <w:p w14:paraId="6E8C6DC6" w14:textId="77777777" w:rsidR="00F00A73" w:rsidRPr="00EA4567" w:rsidRDefault="00F00A73" w:rsidP="00B22CFC">
            <w:pPr>
              <w:ind w:right="386"/>
              <w:jc w:val="center"/>
              <w:rPr>
                <w:b/>
              </w:rPr>
            </w:pPr>
            <w:r w:rsidRPr="00EA4567">
              <w:rPr>
                <w:b/>
              </w:rPr>
              <w:t>£000’s</w:t>
            </w:r>
          </w:p>
        </w:tc>
        <w:tc>
          <w:tcPr>
            <w:tcW w:w="1470" w:type="dxa"/>
            <w:shd w:val="clear" w:color="auto" w:fill="E0E0E0"/>
          </w:tcPr>
          <w:p w14:paraId="1C5C2537" w14:textId="77777777" w:rsidR="00F00A73" w:rsidRPr="00EA4567" w:rsidRDefault="00F00A73" w:rsidP="00E444D2">
            <w:pPr>
              <w:ind w:right="386"/>
              <w:jc w:val="center"/>
              <w:rPr>
                <w:b/>
              </w:rPr>
            </w:pPr>
            <w:r w:rsidRPr="00EA4567">
              <w:rPr>
                <w:b/>
              </w:rPr>
              <w:t>£000’s</w:t>
            </w:r>
          </w:p>
        </w:tc>
      </w:tr>
      <w:tr w:rsidR="00F00A73" w:rsidRPr="00EA4567" w14:paraId="2E691034" w14:textId="77777777" w:rsidTr="005E4245">
        <w:tc>
          <w:tcPr>
            <w:tcW w:w="3510" w:type="dxa"/>
          </w:tcPr>
          <w:p w14:paraId="76859904" w14:textId="77777777" w:rsidR="00F00A73" w:rsidRPr="00EA4567" w:rsidRDefault="00F00A73" w:rsidP="00E444D2">
            <w:pPr>
              <w:ind w:right="386"/>
              <w:rPr>
                <w:b/>
              </w:rPr>
            </w:pPr>
            <w:r w:rsidRPr="00EA4567">
              <w:rPr>
                <w:b/>
              </w:rPr>
              <w:t>EXPENDITURE</w:t>
            </w:r>
          </w:p>
        </w:tc>
        <w:tc>
          <w:tcPr>
            <w:tcW w:w="1560" w:type="dxa"/>
          </w:tcPr>
          <w:p w14:paraId="7E4C18C6" w14:textId="77777777" w:rsidR="00F00A73" w:rsidRPr="00EA4567" w:rsidRDefault="00F00A73" w:rsidP="003811C0">
            <w:pPr>
              <w:ind w:right="386"/>
              <w:jc w:val="right"/>
            </w:pPr>
          </w:p>
        </w:tc>
        <w:tc>
          <w:tcPr>
            <w:tcW w:w="1944" w:type="dxa"/>
          </w:tcPr>
          <w:p w14:paraId="485F5A8A" w14:textId="77777777" w:rsidR="00F00A73" w:rsidRPr="00EA4567" w:rsidRDefault="00F00A73" w:rsidP="003811C0">
            <w:pPr>
              <w:jc w:val="right"/>
            </w:pPr>
          </w:p>
        </w:tc>
        <w:tc>
          <w:tcPr>
            <w:tcW w:w="1701" w:type="dxa"/>
          </w:tcPr>
          <w:p w14:paraId="0D214EA8" w14:textId="77777777" w:rsidR="00F00A73" w:rsidRPr="00EA4567" w:rsidRDefault="00F00A73" w:rsidP="003811C0">
            <w:pPr>
              <w:ind w:right="-6"/>
              <w:jc w:val="right"/>
            </w:pPr>
          </w:p>
        </w:tc>
        <w:tc>
          <w:tcPr>
            <w:tcW w:w="1470" w:type="dxa"/>
          </w:tcPr>
          <w:p w14:paraId="51D3336F" w14:textId="77777777" w:rsidR="00F00A73" w:rsidRPr="00EA4567" w:rsidRDefault="00F00A73" w:rsidP="003811C0">
            <w:pPr>
              <w:ind w:right="386"/>
              <w:jc w:val="right"/>
            </w:pPr>
          </w:p>
        </w:tc>
      </w:tr>
      <w:tr w:rsidR="00F00A73" w:rsidRPr="00EA4567" w14:paraId="281FE601" w14:textId="77777777" w:rsidTr="005E4245">
        <w:tc>
          <w:tcPr>
            <w:tcW w:w="3510" w:type="dxa"/>
          </w:tcPr>
          <w:p w14:paraId="0F9F5D6E" w14:textId="77777777" w:rsidR="00F00A73" w:rsidRPr="00EA4567" w:rsidRDefault="00F00A73" w:rsidP="00E444D2">
            <w:pPr>
              <w:ind w:right="386"/>
            </w:pPr>
          </w:p>
        </w:tc>
        <w:tc>
          <w:tcPr>
            <w:tcW w:w="1560" w:type="dxa"/>
          </w:tcPr>
          <w:p w14:paraId="6FD003D3" w14:textId="77777777" w:rsidR="00F00A73" w:rsidRPr="00EA4567" w:rsidRDefault="00F00A73" w:rsidP="008119A8">
            <w:pPr>
              <w:ind w:right="386"/>
              <w:jc w:val="right"/>
            </w:pPr>
          </w:p>
        </w:tc>
        <w:tc>
          <w:tcPr>
            <w:tcW w:w="1944" w:type="dxa"/>
          </w:tcPr>
          <w:p w14:paraId="1A2F9EB4" w14:textId="77777777" w:rsidR="00F00A73" w:rsidRPr="00EA4567" w:rsidRDefault="00F00A73" w:rsidP="008119A8">
            <w:pPr>
              <w:jc w:val="right"/>
            </w:pPr>
          </w:p>
        </w:tc>
        <w:tc>
          <w:tcPr>
            <w:tcW w:w="1701" w:type="dxa"/>
          </w:tcPr>
          <w:p w14:paraId="2FE82C58" w14:textId="77777777" w:rsidR="00F00A73" w:rsidRPr="00EA4567" w:rsidRDefault="00F00A73" w:rsidP="008119A8">
            <w:pPr>
              <w:ind w:right="-6"/>
              <w:jc w:val="right"/>
            </w:pPr>
          </w:p>
        </w:tc>
        <w:tc>
          <w:tcPr>
            <w:tcW w:w="1470" w:type="dxa"/>
          </w:tcPr>
          <w:p w14:paraId="78F9F459" w14:textId="77777777" w:rsidR="00F00A73" w:rsidRPr="00EA4567" w:rsidRDefault="00F00A73" w:rsidP="008119A8">
            <w:pPr>
              <w:ind w:right="386"/>
              <w:jc w:val="right"/>
            </w:pPr>
          </w:p>
        </w:tc>
      </w:tr>
      <w:tr w:rsidR="00F00A73" w:rsidRPr="00EA4567" w14:paraId="73E527F3" w14:textId="77777777" w:rsidTr="005E4245">
        <w:tc>
          <w:tcPr>
            <w:tcW w:w="3510" w:type="dxa"/>
          </w:tcPr>
          <w:p w14:paraId="6AC78EF3" w14:textId="77777777" w:rsidR="00F00A73" w:rsidRPr="00EA4567" w:rsidRDefault="00F00A73" w:rsidP="00302C27">
            <w:pPr>
              <w:ind w:right="386"/>
            </w:pPr>
            <w:r w:rsidRPr="00EA4567">
              <w:t>Base Budget</w:t>
            </w:r>
          </w:p>
        </w:tc>
        <w:tc>
          <w:tcPr>
            <w:tcW w:w="1560" w:type="dxa"/>
          </w:tcPr>
          <w:p w14:paraId="04C3F146" w14:textId="77777777" w:rsidR="00F00A73" w:rsidRPr="00EA4567" w:rsidRDefault="00F00A73" w:rsidP="00302C27">
            <w:pPr>
              <w:tabs>
                <w:tab w:val="left" w:pos="1344"/>
              </w:tabs>
              <w:ind w:right="34"/>
              <w:jc w:val="right"/>
            </w:pPr>
            <w:r w:rsidRPr="00EA4567">
              <w:t>21,475</w:t>
            </w:r>
          </w:p>
        </w:tc>
        <w:tc>
          <w:tcPr>
            <w:tcW w:w="1944" w:type="dxa"/>
          </w:tcPr>
          <w:p w14:paraId="6C0BBA9B" w14:textId="77777777" w:rsidR="00F00A73" w:rsidRPr="00EA4567" w:rsidRDefault="00F00A73" w:rsidP="00F00A73">
            <w:pPr>
              <w:jc w:val="right"/>
            </w:pPr>
            <w:r w:rsidRPr="00EA4567">
              <w:t>21,475</w:t>
            </w:r>
          </w:p>
        </w:tc>
        <w:tc>
          <w:tcPr>
            <w:tcW w:w="1701" w:type="dxa"/>
          </w:tcPr>
          <w:p w14:paraId="1902C4A5" w14:textId="77777777" w:rsidR="00F00A73" w:rsidRPr="00EA4567" w:rsidRDefault="00F00A73" w:rsidP="00F00A73">
            <w:pPr>
              <w:jc w:val="right"/>
            </w:pPr>
            <w:r w:rsidRPr="00EA4567">
              <w:t>21,475</w:t>
            </w:r>
          </w:p>
        </w:tc>
        <w:tc>
          <w:tcPr>
            <w:tcW w:w="1470" w:type="dxa"/>
          </w:tcPr>
          <w:p w14:paraId="1A3EBCFE" w14:textId="77777777" w:rsidR="00F00A73" w:rsidRPr="00EA4567" w:rsidRDefault="00F00A73" w:rsidP="00F00A73">
            <w:pPr>
              <w:jc w:val="right"/>
            </w:pPr>
            <w:r w:rsidRPr="00EA4567">
              <w:t>21,475</w:t>
            </w:r>
          </w:p>
        </w:tc>
      </w:tr>
      <w:tr w:rsidR="00F00A73" w:rsidRPr="00EA4567" w14:paraId="1A8CDB42" w14:textId="77777777" w:rsidTr="005E4245">
        <w:tc>
          <w:tcPr>
            <w:tcW w:w="3510" w:type="dxa"/>
          </w:tcPr>
          <w:p w14:paraId="393A80A6" w14:textId="77777777" w:rsidR="00F00A73" w:rsidRPr="00EA4567" w:rsidRDefault="00F00A73" w:rsidP="00302C27">
            <w:pPr>
              <w:ind w:right="386"/>
            </w:pPr>
            <w:r w:rsidRPr="00EA4567">
              <w:t>Efficiencies</w:t>
            </w:r>
          </w:p>
        </w:tc>
        <w:tc>
          <w:tcPr>
            <w:tcW w:w="1560" w:type="dxa"/>
          </w:tcPr>
          <w:p w14:paraId="14664563" w14:textId="77777777" w:rsidR="00F00A73" w:rsidRPr="00EA4567" w:rsidRDefault="00F00A73" w:rsidP="00F00A73">
            <w:pPr>
              <w:tabs>
                <w:tab w:val="left" w:pos="1404"/>
              </w:tabs>
              <w:jc w:val="right"/>
            </w:pPr>
            <w:r w:rsidRPr="00EA4567">
              <w:t>(596)</w:t>
            </w:r>
          </w:p>
        </w:tc>
        <w:tc>
          <w:tcPr>
            <w:tcW w:w="1944" w:type="dxa"/>
          </w:tcPr>
          <w:p w14:paraId="32809BB7" w14:textId="77777777" w:rsidR="00F00A73" w:rsidRPr="00EA4567" w:rsidRDefault="00F00A73" w:rsidP="00F00A73">
            <w:pPr>
              <w:jc w:val="right"/>
            </w:pPr>
            <w:r w:rsidRPr="00EA4567">
              <w:t>(1,198)</w:t>
            </w:r>
          </w:p>
        </w:tc>
        <w:tc>
          <w:tcPr>
            <w:tcW w:w="1701" w:type="dxa"/>
          </w:tcPr>
          <w:p w14:paraId="0AE29087" w14:textId="77777777" w:rsidR="00F00A73" w:rsidRPr="00EA4567" w:rsidRDefault="00F00A73" w:rsidP="00F00A73">
            <w:pPr>
              <w:ind w:right="-6"/>
              <w:jc w:val="right"/>
            </w:pPr>
            <w:r w:rsidRPr="00EA4567">
              <w:t>(1,475)</w:t>
            </w:r>
          </w:p>
        </w:tc>
        <w:tc>
          <w:tcPr>
            <w:tcW w:w="1470" w:type="dxa"/>
          </w:tcPr>
          <w:p w14:paraId="30CF44BD" w14:textId="77777777" w:rsidR="00F00A73" w:rsidRPr="00EA4567" w:rsidRDefault="00F00A73" w:rsidP="00F00A73">
            <w:pPr>
              <w:tabs>
                <w:tab w:val="left" w:pos="1350"/>
              </w:tabs>
              <w:jc w:val="right"/>
            </w:pPr>
            <w:r w:rsidRPr="00EA4567">
              <w:t>(1,456)</w:t>
            </w:r>
          </w:p>
        </w:tc>
      </w:tr>
      <w:tr w:rsidR="00F00A73" w:rsidRPr="00EA4567" w14:paraId="34D069EF" w14:textId="77777777" w:rsidTr="005E4245">
        <w:tc>
          <w:tcPr>
            <w:tcW w:w="3510" w:type="dxa"/>
          </w:tcPr>
          <w:p w14:paraId="28C4293A" w14:textId="77777777" w:rsidR="00F00A73" w:rsidRPr="00EA4567" w:rsidRDefault="00F00A73" w:rsidP="00302C27">
            <w:pPr>
              <w:ind w:right="386"/>
            </w:pPr>
            <w:r w:rsidRPr="00EA4567">
              <w:t>Fees and Charges</w:t>
            </w:r>
          </w:p>
        </w:tc>
        <w:tc>
          <w:tcPr>
            <w:tcW w:w="1560" w:type="dxa"/>
          </w:tcPr>
          <w:p w14:paraId="086E5D08" w14:textId="77777777" w:rsidR="00F00A73" w:rsidRPr="00EA4567" w:rsidRDefault="00F00A73" w:rsidP="00302C27">
            <w:pPr>
              <w:tabs>
                <w:tab w:val="left" w:pos="1404"/>
              </w:tabs>
              <w:jc w:val="right"/>
            </w:pPr>
            <w:r w:rsidRPr="00EA4567">
              <w:t>(942)</w:t>
            </w:r>
          </w:p>
        </w:tc>
        <w:tc>
          <w:tcPr>
            <w:tcW w:w="1944" w:type="dxa"/>
          </w:tcPr>
          <w:p w14:paraId="0CF3AFE9" w14:textId="77777777" w:rsidR="00F00A73" w:rsidRPr="00EA4567" w:rsidRDefault="00F00A73" w:rsidP="00302C27">
            <w:pPr>
              <w:jc w:val="right"/>
            </w:pPr>
            <w:r w:rsidRPr="00EA4567">
              <w:t>(2,140)</w:t>
            </w:r>
          </w:p>
        </w:tc>
        <w:tc>
          <w:tcPr>
            <w:tcW w:w="1701" w:type="dxa"/>
          </w:tcPr>
          <w:p w14:paraId="7BB0335D" w14:textId="77777777" w:rsidR="00F00A73" w:rsidRPr="00EA4567" w:rsidRDefault="00F00A73" w:rsidP="00302C27">
            <w:pPr>
              <w:ind w:right="-6"/>
              <w:jc w:val="right"/>
            </w:pPr>
            <w:r w:rsidRPr="00EA4567">
              <w:t>(2,161)</w:t>
            </w:r>
          </w:p>
        </w:tc>
        <w:tc>
          <w:tcPr>
            <w:tcW w:w="1470" w:type="dxa"/>
          </w:tcPr>
          <w:p w14:paraId="31AF800E" w14:textId="77777777" w:rsidR="00F00A73" w:rsidRPr="00EA4567" w:rsidRDefault="00F00A73" w:rsidP="00302C27">
            <w:pPr>
              <w:tabs>
                <w:tab w:val="left" w:pos="1350"/>
              </w:tabs>
              <w:jc w:val="right"/>
            </w:pPr>
            <w:r w:rsidRPr="00EA4567">
              <w:t>(2,372)</w:t>
            </w:r>
          </w:p>
        </w:tc>
      </w:tr>
      <w:tr w:rsidR="00F00A73" w:rsidRPr="00EA4567" w14:paraId="10F5CA5C" w14:textId="77777777" w:rsidTr="005E4245">
        <w:tc>
          <w:tcPr>
            <w:tcW w:w="3510" w:type="dxa"/>
          </w:tcPr>
          <w:p w14:paraId="3A7CCF4A" w14:textId="77777777" w:rsidR="00F00A73" w:rsidRPr="00EA4567" w:rsidRDefault="00F00A73" w:rsidP="00302C27">
            <w:pPr>
              <w:ind w:right="386"/>
            </w:pPr>
            <w:r w:rsidRPr="00EA4567">
              <w:t>Service reductions</w:t>
            </w:r>
          </w:p>
        </w:tc>
        <w:tc>
          <w:tcPr>
            <w:tcW w:w="1560" w:type="dxa"/>
          </w:tcPr>
          <w:p w14:paraId="61291F13" w14:textId="77777777" w:rsidR="00F00A73" w:rsidRPr="00EA4567" w:rsidRDefault="00F00A73" w:rsidP="00302C27">
            <w:pPr>
              <w:tabs>
                <w:tab w:val="left" w:pos="1404"/>
              </w:tabs>
              <w:jc w:val="right"/>
            </w:pPr>
            <w:r w:rsidRPr="00EA4567">
              <w:t>(182)</w:t>
            </w:r>
          </w:p>
        </w:tc>
        <w:tc>
          <w:tcPr>
            <w:tcW w:w="1944" w:type="dxa"/>
          </w:tcPr>
          <w:p w14:paraId="019A09E7" w14:textId="77777777" w:rsidR="00F00A73" w:rsidRPr="00EA4567" w:rsidRDefault="00F00A73" w:rsidP="00302C27">
            <w:pPr>
              <w:jc w:val="right"/>
            </w:pPr>
            <w:r w:rsidRPr="00EA4567">
              <w:t>(190)</w:t>
            </w:r>
          </w:p>
        </w:tc>
        <w:tc>
          <w:tcPr>
            <w:tcW w:w="1701" w:type="dxa"/>
          </w:tcPr>
          <w:p w14:paraId="0D7A88E9" w14:textId="77777777" w:rsidR="00F00A73" w:rsidRPr="00EA4567" w:rsidRDefault="00F00A73" w:rsidP="00302C27">
            <w:pPr>
              <w:ind w:right="-6"/>
              <w:jc w:val="right"/>
            </w:pPr>
            <w:r w:rsidRPr="00EA4567">
              <w:t>(197)</w:t>
            </w:r>
          </w:p>
        </w:tc>
        <w:tc>
          <w:tcPr>
            <w:tcW w:w="1470" w:type="dxa"/>
          </w:tcPr>
          <w:p w14:paraId="30E309A5" w14:textId="77777777" w:rsidR="00F00A73" w:rsidRPr="00EA4567" w:rsidRDefault="00F00A73" w:rsidP="00302C27">
            <w:pPr>
              <w:tabs>
                <w:tab w:val="left" w:pos="1350"/>
              </w:tabs>
              <w:jc w:val="right"/>
            </w:pPr>
            <w:r w:rsidRPr="00EA4567">
              <w:t>(204)</w:t>
            </w:r>
          </w:p>
        </w:tc>
      </w:tr>
      <w:tr w:rsidR="00F00A73" w:rsidRPr="00EA4567" w14:paraId="486B5E25" w14:textId="77777777" w:rsidTr="005E4245">
        <w:tc>
          <w:tcPr>
            <w:tcW w:w="3510" w:type="dxa"/>
          </w:tcPr>
          <w:p w14:paraId="4060EB39" w14:textId="77777777" w:rsidR="00F00A73" w:rsidRPr="00EA4567" w:rsidRDefault="00F00A73" w:rsidP="00302C27">
            <w:pPr>
              <w:ind w:right="386"/>
            </w:pPr>
            <w:r w:rsidRPr="00EA4567">
              <w:t>Changes in investment</w:t>
            </w:r>
          </w:p>
        </w:tc>
        <w:tc>
          <w:tcPr>
            <w:tcW w:w="1560" w:type="dxa"/>
          </w:tcPr>
          <w:p w14:paraId="612CC9F3" w14:textId="77777777" w:rsidR="00F00A73" w:rsidRPr="00EA4567" w:rsidRDefault="00F00A73" w:rsidP="00F00A73">
            <w:pPr>
              <w:tabs>
                <w:tab w:val="left" w:pos="1404"/>
              </w:tabs>
              <w:jc w:val="right"/>
            </w:pPr>
            <w:r w:rsidRPr="00EA4567">
              <w:t>(723)</w:t>
            </w:r>
          </w:p>
        </w:tc>
        <w:tc>
          <w:tcPr>
            <w:tcW w:w="1944" w:type="dxa"/>
          </w:tcPr>
          <w:p w14:paraId="0E4C6884" w14:textId="77777777" w:rsidR="00F00A73" w:rsidRPr="00EA4567" w:rsidRDefault="00F00A73" w:rsidP="00F00A73">
            <w:pPr>
              <w:jc w:val="right"/>
            </w:pPr>
            <w:r w:rsidRPr="00EA4567">
              <w:t>(928)</w:t>
            </w:r>
          </w:p>
        </w:tc>
        <w:tc>
          <w:tcPr>
            <w:tcW w:w="1701" w:type="dxa"/>
          </w:tcPr>
          <w:p w14:paraId="24523F62" w14:textId="77777777" w:rsidR="00F00A73" w:rsidRPr="00EA4567" w:rsidRDefault="00F00A73" w:rsidP="00F00A73">
            <w:pPr>
              <w:ind w:right="-6"/>
              <w:jc w:val="right"/>
            </w:pPr>
            <w:r w:rsidRPr="00EA4567">
              <w:t>(983)</w:t>
            </w:r>
          </w:p>
        </w:tc>
        <w:tc>
          <w:tcPr>
            <w:tcW w:w="1470" w:type="dxa"/>
          </w:tcPr>
          <w:p w14:paraId="02566B9F" w14:textId="77777777" w:rsidR="00F00A73" w:rsidRPr="00EA4567" w:rsidRDefault="00F00A73" w:rsidP="00F00A73">
            <w:pPr>
              <w:tabs>
                <w:tab w:val="left" w:pos="1350"/>
              </w:tabs>
              <w:jc w:val="right"/>
            </w:pPr>
            <w:r w:rsidRPr="00EA4567">
              <w:t>(983)</w:t>
            </w:r>
          </w:p>
        </w:tc>
      </w:tr>
      <w:tr w:rsidR="00F00A73" w:rsidRPr="00EA4567" w14:paraId="2F7A33B2" w14:textId="77777777" w:rsidTr="005E4245">
        <w:tc>
          <w:tcPr>
            <w:tcW w:w="3510" w:type="dxa"/>
          </w:tcPr>
          <w:p w14:paraId="5A0791CD" w14:textId="77777777" w:rsidR="00F00A73" w:rsidRPr="00EA4567" w:rsidRDefault="00F00A73" w:rsidP="00302C27">
            <w:pPr>
              <w:ind w:right="386"/>
            </w:pPr>
            <w:r w:rsidRPr="00EA4567">
              <w:t>Inflation &amp; other pressures</w:t>
            </w:r>
          </w:p>
        </w:tc>
        <w:tc>
          <w:tcPr>
            <w:tcW w:w="1560" w:type="dxa"/>
          </w:tcPr>
          <w:p w14:paraId="6F714694" w14:textId="77777777" w:rsidR="00F00A73" w:rsidRPr="00EA4567" w:rsidRDefault="00F00A73" w:rsidP="00F615A9">
            <w:pPr>
              <w:tabs>
                <w:tab w:val="left" w:pos="1404"/>
              </w:tabs>
              <w:jc w:val="right"/>
            </w:pPr>
            <w:r w:rsidRPr="00EA4567">
              <w:t>1,631</w:t>
            </w:r>
          </w:p>
        </w:tc>
        <w:tc>
          <w:tcPr>
            <w:tcW w:w="1944" w:type="dxa"/>
          </w:tcPr>
          <w:p w14:paraId="67AD8530" w14:textId="77777777" w:rsidR="00F00A73" w:rsidRPr="00EA4567" w:rsidRDefault="00F00A73" w:rsidP="00F615A9">
            <w:pPr>
              <w:jc w:val="right"/>
            </w:pPr>
            <w:r w:rsidRPr="00EA4567">
              <w:t>2,405</w:t>
            </w:r>
          </w:p>
        </w:tc>
        <w:tc>
          <w:tcPr>
            <w:tcW w:w="1701" w:type="dxa"/>
          </w:tcPr>
          <w:p w14:paraId="06DB7229" w14:textId="77777777" w:rsidR="00F00A73" w:rsidRPr="00EA4567" w:rsidRDefault="00F00A73" w:rsidP="00F615A9">
            <w:pPr>
              <w:ind w:right="-6"/>
              <w:jc w:val="right"/>
            </w:pPr>
            <w:r w:rsidRPr="00EA4567">
              <w:t>2,553</w:t>
            </w:r>
          </w:p>
        </w:tc>
        <w:tc>
          <w:tcPr>
            <w:tcW w:w="1470" w:type="dxa"/>
          </w:tcPr>
          <w:p w14:paraId="2BB73BB4" w14:textId="77777777" w:rsidR="00F00A73" w:rsidRPr="00EA4567" w:rsidRDefault="00F00A73" w:rsidP="00F615A9">
            <w:pPr>
              <w:tabs>
                <w:tab w:val="left" w:pos="1350"/>
              </w:tabs>
              <w:jc w:val="right"/>
            </w:pPr>
            <w:r w:rsidRPr="00EA4567">
              <w:t>2,685</w:t>
            </w:r>
          </w:p>
        </w:tc>
      </w:tr>
      <w:tr w:rsidR="00F00A73" w:rsidRPr="00EA4567" w14:paraId="4ECD2252" w14:textId="77777777" w:rsidTr="005E4245">
        <w:tc>
          <w:tcPr>
            <w:tcW w:w="3510" w:type="dxa"/>
          </w:tcPr>
          <w:p w14:paraId="7E1DFC31" w14:textId="77777777" w:rsidR="00F00A73" w:rsidRPr="00EA4567" w:rsidRDefault="00F00A73" w:rsidP="00302C27">
            <w:pPr>
              <w:ind w:right="386"/>
            </w:pPr>
            <w:r w:rsidRPr="00EA4567">
              <w:t>New Homes Bonus</w:t>
            </w:r>
          </w:p>
        </w:tc>
        <w:tc>
          <w:tcPr>
            <w:tcW w:w="1560" w:type="dxa"/>
          </w:tcPr>
          <w:p w14:paraId="5F60DD68" w14:textId="77777777" w:rsidR="00F00A73" w:rsidRPr="00EA4567" w:rsidRDefault="00F00A73" w:rsidP="00302C27">
            <w:pPr>
              <w:tabs>
                <w:tab w:val="left" w:pos="1404"/>
              </w:tabs>
              <w:jc w:val="right"/>
            </w:pPr>
            <w:r w:rsidRPr="00EA4567">
              <w:t>(1,338)</w:t>
            </w:r>
          </w:p>
        </w:tc>
        <w:tc>
          <w:tcPr>
            <w:tcW w:w="1944" w:type="dxa"/>
          </w:tcPr>
          <w:p w14:paraId="221AD77E" w14:textId="77777777" w:rsidR="00F00A73" w:rsidRPr="00EA4567" w:rsidRDefault="00F00A73" w:rsidP="00302C27">
            <w:pPr>
              <w:jc w:val="right"/>
            </w:pPr>
            <w:r w:rsidRPr="00EA4567">
              <w:t>(1,670)</w:t>
            </w:r>
          </w:p>
        </w:tc>
        <w:tc>
          <w:tcPr>
            <w:tcW w:w="1701" w:type="dxa"/>
          </w:tcPr>
          <w:p w14:paraId="7AC9C826" w14:textId="77777777" w:rsidR="00F00A73" w:rsidRPr="00EA4567" w:rsidRDefault="00F00A73" w:rsidP="00302C27">
            <w:pPr>
              <w:ind w:right="-6"/>
              <w:jc w:val="right"/>
            </w:pPr>
            <w:r w:rsidRPr="00EA4567">
              <w:t>(1,784)</w:t>
            </w:r>
          </w:p>
        </w:tc>
        <w:tc>
          <w:tcPr>
            <w:tcW w:w="1470" w:type="dxa"/>
          </w:tcPr>
          <w:p w14:paraId="2A104FAB" w14:textId="77777777" w:rsidR="00F00A73" w:rsidRPr="00EA4567" w:rsidRDefault="00F00A73" w:rsidP="00302C27">
            <w:pPr>
              <w:tabs>
                <w:tab w:val="left" w:pos="1350"/>
              </w:tabs>
              <w:jc w:val="right"/>
            </w:pPr>
            <w:r w:rsidRPr="00EA4567">
              <w:t>(1,835)</w:t>
            </w:r>
          </w:p>
        </w:tc>
      </w:tr>
      <w:tr w:rsidR="00F00A73" w:rsidRPr="00EA4567" w14:paraId="30B29648" w14:textId="77777777" w:rsidTr="005E4245">
        <w:tc>
          <w:tcPr>
            <w:tcW w:w="3510" w:type="dxa"/>
          </w:tcPr>
          <w:p w14:paraId="2EAA7D68" w14:textId="77777777" w:rsidR="00F00A73" w:rsidRPr="00EA4567" w:rsidRDefault="00F00A73" w:rsidP="00302C27">
            <w:pPr>
              <w:ind w:right="386"/>
            </w:pPr>
            <w:r w:rsidRPr="00EA4567">
              <w:t>Revenue Contributions</w:t>
            </w:r>
          </w:p>
        </w:tc>
        <w:tc>
          <w:tcPr>
            <w:tcW w:w="1560" w:type="dxa"/>
          </w:tcPr>
          <w:p w14:paraId="5D99BB8C" w14:textId="77777777" w:rsidR="00F00A73" w:rsidRPr="00EA4567" w:rsidRDefault="00F00A73" w:rsidP="00F615A9">
            <w:pPr>
              <w:tabs>
                <w:tab w:val="left" w:pos="1404"/>
              </w:tabs>
              <w:jc w:val="right"/>
            </w:pPr>
            <w:r w:rsidRPr="00EA4567">
              <w:t>1,338</w:t>
            </w:r>
          </w:p>
        </w:tc>
        <w:tc>
          <w:tcPr>
            <w:tcW w:w="1944" w:type="dxa"/>
          </w:tcPr>
          <w:p w14:paraId="6DBCCF9C" w14:textId="77777777" w:rsidR="00F00A73" w:rsidRPr="00EA4567" w:rsidRDefault="00F00A73" w:rsidP="00F615A9">
            <w:pPr>
              <w:jc w:val="right"/>
            </w:pPr>
            <w:r w:rsidRPr="00EA4567">
              <w:t>1,670</w:t>
            </w:r>
          </w:p>
        </w:tc>
        <w:tc>
          <w:tcPr>
            <w:tcW w:w="1701" w:type="dxa"/>
          </w:tcPr>
          <w:p w14:paraId="7F758722" w14:textId="77777777" w:rsidR="00F00A73" w:rsidRPr="00EA4567" w:rsidRDefault="00F00A73" w:rsidP="00F615A9">
            <w:pPr>
              <w:ind w:right="-6"/>
              <w:jc w:val="right"/>
            </w:pPr>
            <w:r w:rsidRPr="00EA4567">
              <w:t>1,784</w:t>
            </w:r>
          </w:p>
        </w:tc>
        <w:tc>
          <w:tcPr>
            <w:tcW w:w="1470" w:type="dxa"/>
          </w:tcPr>
          <w:p w14:paraId="5ACE201B" w14:textId="77777777" w:rsidR="00F00A73" w:rsidRPr="00EA4567" w:rsidRDefault="00F00A73" w:rsidP="00F615A9">
            <w:pPr>
              <w:tabs>
                <w:tab w:val="left" w:pos="1350"/>
              </w:tabs>
              <w:jc w:val="right"/>
            </w:pPr>
            <w:r w:rsidRPr="00EA4567">
              <w:t>1,835</w:t>
            </w:r>
          </w:p>
        </w:tc>
      </w:tr>
      <w:tr w:rsidR="00F00A73" w:rsidRPr="00EA4567" w14:paraId="49A26B87" w14:textId="77777777" w:rsidTr="005E4245">
        <w:tc>
          <w:tcPr>
            <w:tcW w:w="3510" w:type="dxa"/>
          </w:tcPr>
          <w:p w14:paraId="4E3C2644" w14:textId="77777777" w:rsidR="00F00A73" w:rsidRPr="00EA4567" w:rsidRDefault="00F00A73" w:rsidP="00302C27">
            <w:pPr>
              <w:ind w:right="386"/>
            </w:pPr>
            <w:r w:rsidRPr="00EA4567">
              <w:t xml:space="preserve">Corporate costs including  interest, MRP, pay  </w:t>
            </w:r>
          </w:p>
        </w:tc>
        <w:tc>
          <w:tcPr>
            <w:tcW w:w="1560" w:type="dxa"/>
          </w:tcPr>
          <w:p w14:paraId="7494DDEF" w14:textId="637797DA" w:rsidR="00F00A73" w:rsidRPr="00EA4567" w:rsidRDefault="00A54031" w:rsidP="00302C27">
            <w:pPr>
              <w:tabs>
                <w:tab w:val="left" w:pos="1404"/>
              </w:tabs>
              <w:jc w:val="right"/>
            </w:pPr>
            <w:r>
              <w:t>473</w:t>
            </w:r>
          </w:p>
        </w:tc>
        <w:tc>
          <w:tcPr>
            <w:tcW w:w="1944" w:type="dxa"/>
          </w:tcPr>
          <w:p w14:paraId="0E1314DC" w14:textId="64F00EE9" w:rsidR="00F00A73" w:rsidRPr="00EA4567" w:rsidRDefault="00B346CB" w:rsidP="00A54031">
            <w:pPr>
              <w:jc w:val="right"/>
            </w:pPr>
            <w:r>
              <w:t>1,</w:t>
            </w:r>
            <w:r w:rsidR="00A54031">
              <w:t>755</w:t>
            </w:r>
          </w:p>
        </w:tc>
        <w:tc>
          <w:tcPr>
            <w:tcW w:w="1701" w:type="dxa"/>
          </w:tcPr>
          <w:p w14:paraId="0D13F94B" w14:textId="0A67FE00" w:rsidR="00F00A73" w:rsidRPr="00EA4567" w:rsidRDefault="00B346CB" w:rsidP="00302C27">
            <w:pPr>
              <w:ind w:right="-6"/>
              <w:jc w:val="right"/>
            </w:pPr>
            <w:r>
              <w:t>2,491</w:t>
            </w:r>
          </w:p>
        </w:tc>
        <w:tc>
          <w:tcPr>
            <w:tcW w:w="1470" w:type="dxa"/>
          </w:tcPr>
          <w:p w14:paraId="524F5CA8" w14:textId="3F676E04" w:rsidR="00F00A73" w:rsidRPr="00EA4567" w:rsidRDefault="00B346CB" w:rsidP="00711203">
            <w:pPr>
              <w:tabs>
                <w:tab w:val="left" w:pos="1350"/>
              </w:tabs>
              <w:jc w:val="right"/>
            </w:pPr>
            <w:r>
              <w:t>3,</w:t>
            </w:r>
            <w:r w:rsidR="00711203">
              <w:t>448</w:t>
            </w:r>
          </w:p>
        </w:tc>
      </w:tr>
      <w:tr w:rsidR="00F00A73" w:rsidRPr="00EA4567" w14:paraId="0F819AFC" w14:textId="77777777" w:rsidTr="005E4245">
        <w:tc>
          <w:tcPr>
            <w:tcW w:w="3510" w:type="dxa"/>
          </w:tcPr>
          <w:p w14:paraId="7703F35B" w14:textId="77777777" w:rsidR="00F00A73" w:rsidRPr="00EA4567" w:rsidRDefault="00F00A73" w:rsidP="00302C27">
            <w:pPr>
              <w:ind w:right="386"/>
            </w:pPr>
            <w:r w:rsidRPr="00EA4567">
              <w:t>Contingencies</w:t>
            </w:r>
          </w:p>
        </w:tc>
        <w:tc>
          <w:tcPr>
            <w:tcW w:w="1560" w:type="dxa"/>
          </w:tcPr>
          <w:p w14:paraId="6D9BD7AD" w14:textId="77777777" w:rsidR="00F00A73" w:rsidRPr="00EA4567" w:rsidRDefault="00EA4567" w:rsidP="00302C27">
            <w:pPr>
              <w:tabs>
                <w:tab w:val="left" w:pos="1404"/>
              </w:tabs>
              <w:jc w:val="right"/>
            </w:pPr>
            <w:r w:rsidRPr="00EA4567">
              <w:t>145</w:t>
            </w:r>
          </w:p>
        </w:tc>
        <w:tc>
          <w:tcPr>
            <w:tcW w:w="1944" w:type="dxa"/>
          </w:tcPr>
          <w:p w14:paraId="0EADFE2A" w14:textId="77777777" w:rsidR="00F00A73" w:rsidRPr="00EA4567" w:rsidRDefault="00EA4567" w:rsidP="00302C27">
            <w:pPr>
              <w:jc w:val="right"/>
            </w:pPr>
            <w:r w:rsidRPr="00EA4567">
              <w:t>271</w:t>
            </w:r>
          </w:p>
        </w:tc>
        <w:tc>
          <w:tcPr>
            <w:tcW w:w="1701" w:type="dxa"/>
          </w:tcPr>
          <w:p w14:paraId="43FC3D8A" w14:textId="77777777" w:rsidR="00F00A73" w:rsidRPr="00EA4567" w:rsidRDefault="00EA4567" w:rsidP="00302C27">
            <w:pPr>
              <w:ind w:right="-6"/>
              <w:jc w:val="right"/>
            </w:pPr>
            <w:r w:rsidRPr="00EA4567">
              <w:t>300</w:t>
            </w:r>
          </w:p>
        </w:tc>
        <w:tc>
          <w:tcPr>
            <w:tcW w:w="1470" w:type="dxa"/>
          </w:tcPr>
          <w:p w14:paraId="3ED1BE62" w14:textId="77777777" w:rsidR="00F00A73" w:rsidRPr="00EA4567" w:rsidRDefault="00EA4567" w:rsidP="00302C27">
            <w:pPr>
              <w:tabs>
                <w:tab w:val="left" w:pos="1350"/>
              </w:tabs>
              <w:jc w:val="right"/>
            </w:pPr>
            <w:r w:rsidRPr="00EA4567">
              <w:t>341</w:t>
            </w:r>
          </w:p>
        </w:tc>
      </w:tr>
      <w:tr w:rsidR="00F00A73" w:rsidRPr="00EA4567" w14:paraId="1382C246" w14:textId="77777777" w:rsidTr="005E4245">
        <w:tc>
          <w:tcPr>
            <w:tcW w:w="3510" w:type="dxa"/>
          </w:tcPr>
          <w:p w14:paraId="7A235FCE" w14:textId="77777777" w:rsidR="00F00A73" w:rsidRPr="00EA4567" w:rsidRDefault="00F00A73" w:rsidP="00E444D2">
            <w:pPr>
              <w:ind w:right="386"/>
              <w:rPr>
                <w:b/>
              </w:rPr>
            </w:pPr>
          </w:p>
        </w:tc>
        <w:tc>
          <w:tcPr>
            <w:tcW w:w="1560" w:type="dxa"/>
          </w:tcPr>
          <w:p w14:paraId="3A1F4CC2" w14:textId="77777777" w:rsidR="00F00A73" w:rsidRPr="00EA4567" w:rsidRDefault="00F00A73" w:rsidP="005E4245">
            <w:pPr>
              <w:tabs>
                <w:tab w:val="left" w:pos="1404"/>
              </w:tabs>
              <w:jc w:val="right"/>
            </w:pPr>
          </w:p>
        </w:tc>
        <w:tc>
          <w:tcPr>
            <w:tcW w:w="1944" w:type="dxa"/>
          </w:tcPr>
          <w:p w14:paraId="5DD0901B" w14:textId="77777777" w:rsidR="00F00A73" w:rsidRPr="00EA4567" w:rsidRDefault="00F00A73" w:rsidP="005E4245">
            <w:pPr>
              <w:jc w:val="right"/>
            </w:pPr>
          </w:p>
        </w:tc>
        <w:tc>
          <w:tcPr>
            <w:tcW w:w="1701" w:type="dxa"/>
          </w:tcPr>
          <w:p w14:paraId="25354FA6" w14:textId="77777777" w:rsidR="00F00A73" w:rsidRPr="00EA4567" w:rsidRDefault="00F00A73" w:rsidP="005E4245">
            <w:pPr>
              <w:ind w:right="-6"/>
              <w:jc w:val="right"/>
            </w:pPr>
          </w:p>
        </w:tc>
        <w:tc>
          <w:tcPr>
            <w:tcW w:w="1470" w:type="dxa"/>
          </w:tcPr>
          <w:p w14:paraId="093D661B" w14:textId="77777777" w:rsidR="00F00A73" w:rsidRPr="00EA4567" w:rsidRDefault="00F00A73" w:rsidP="005E4245">
            <w:pPr>
              <w:tabs>
                <w:tab w:val="left" w:pos="1254"/>
              </w:tabs>
              <w:jc w:val="right"/>
            </w:pPr>
          </w:p>
        </w:tc>
      </w:tr>
      <w:tr w:rsidR="00EA4567" w:rsidRPr="00EA4567" w14:paraId="6EAD778F" w14:textId="77777777" w:rsidTr="00C26E9D">
        <w:tc>
          <w:tcPr>
            <w:tcW w:w="3510" w:type="dxa"/>
          </w:tcPr>
          <w:p w14:paraId="1A63AE34" w14:textId="77777777" w:rsidR="00EA4567" w:rsidRPr="00780298" w:rsidRDefault="008C3B46" w:rsidP="008C3B46">
            <w:pPr>
              <w:ind w:right="386"/>
            </w:pPr>
            <w:r w:rsidRPr="00780298">
              <w:t>Transfers to/ (from) working balances</w:t>
            </w:r>
          </w:p>
        </w:tc>
        <w:tc>
          <w:tcPr>
            <w:tcW w:w="1560" w:type="dxa"/>
          </w:tcPr>
          <w:p w14:paraId="7D1ED242" w14:textId="713C41D6" w:rsidR="00EA4567" w:rsidRPr="00780298" w:rsidRDefault="00A54031" w:rsidP="00701569">
            <w:pPr>
              <w:tabs>
                <w:tab w:val="left" w:pos="1404"/>
              </w:tabs>
              <w:jc w:val="right"/>
            </w:pPr>
            <w:r w:rsidRPr="00780298">
              <w:t>-</w:t>
            </w:r>
          </w:p>
        </w:tc>
        <w:tc>
          <w:tcPr>
            <w:tcW w:w="1944" w:type="dxa"/>
          </w:tcPr>
          <w:p w14:paraId="22753839" w14:textId="4E627874" w:rsidR="00EA4567" w:rsidRPr="00780298" w:rsidRDefault="00A54031" w:rsidP="00701569">
            <w:pPr>
              <w:jc w:val="right"/>
            </w:pPr>
            <w:r w:rsidRPr="00780298">
              <w:t>762</w:t>
            </w:r>
          </w:p>
        </w:tc>
        <w:tc>
          <w:tcPr>
            <w:tcW w:w="1701" w:type="dxa"/>
          </w:tcPr>
          <w:p w14:paraId="05FA9B22" w14:textId="42BDA6BA" w:rsidR="00EA4567" w:rsidRPr="00780298" w:rsidRDefault="00EA4567" w:rsidP="00A54031">
            <w:pPr>
              <w:ind w:right="-6"/>
              <w:jc w:val="right"/>
            </w:pPr>
            <w:r w:rsidRPr="00780298">
              <w:t>(1</w:t>
            </w:r>
            <w:r w:rsidR="00A54031" w:rsidRPr="00780298">
              <w:t>27</w:t>
            </w:r>
            <w:r w:rsidRPr="00780298">
              <w:t>)</w:t>
            </w:r>
          </w:p>
        </w:tc>
        <w:tc>
          <w:tcPr>
            <w:tcW w:w="1470" w:type="dxa"/>
          </w:tcPr>
          <w:p w14:paraId="7A1E1235" w14:textId="2459542E" w:rsidR="00EA4567" w:rsidRPr="00780298" w:rsidRDefault="00EA4567" w:rsidP="00A54031">
            <w:pPr>
              <w:tabs>
                <w:tab w:val="left" w:pos="1254"/>
              </w:tabs>
              <w:jc w:val="right"/>
            </w:pPr>
            <w:r w:rsidRPr="00780298">
              <w:t>(</w:t>
            </w:r>
            <w:r w:rsidR="00711203" w:rsidRPr="00780298">
              <w:t>6</w:t>
            </w:r>
            <w:r w:rsidR="00A54031" w:rsidRPr="00780298">
              <w:t>35</w:t>
            </w:r>
            <w:r w:rsidRPr="00780298">
              <w:t>)</w:t>
            </w:r>
          </w:p>
        </w:tc>
      </w:tr>
      <w:tr w:rsidR="00EA4567" w:rsidRPr="00EA4567" w14:paraId="1DAC38EB" w14:textId="77777777" w:rsidTr="00C26E9D">
        <w:tc>
          <w:tcPr>
            <w:tcW w:w="3510" w:type="dxa"/>
          </w:tcPr>
          <w:p w14:paraId="0FD08FFB" w14:textId="77777777" w:rsidR="00EA4567" w:rsidRPr="00EA4567" w:rsidRDefault="00EA4567" w:rsidP="00C26E9D">
            <w:pPr>
              <w:ind w:right="386"/>
              <w:rPr>
                <w:b/>
              </w:rPr>
            </w:pPr>
          </w:p>
        </w:tc>
        <w:tc>
          <w:tcPr>
            <w:tcW w:w="1560" w:type="dxa"/>
          </w:tcPr>
          <w:p w14:paraId="4F303A5E" w14:textId="77777777" w:rsidR="00EA4567" w:rsidRPr="00EA4567" w:rsidRDefault="00EA4567" w:rsidP="00701569">
            <w:pPr>
              <w:tabs>
                <w:tab w:val="left" w:pos="1404"/>
              </w:tabs>
              <w:jc w:val="right"/>
              <w:rPr>
                <w:b/>
              </w:rPr>
            </w:pPr>
          </w:p>
        </w:tc>
        <w:tc>
          <w:tcPr>
            <w:tcW w:w="1944" w:type="dxa"/>
          </w:tcPr>
          <w:p w14:paraId="083C0C1B" w14:textId="77777777" w:rsidR="00EA4567" w:rsidRPr="00EA4567" w:rsidRDefault="00EA4567" w:rsidP="00701569">
            <w:pPr>
              <w:jc w:val="right"/>
              <w:rPr>
                <w:b/>
              </w:rPr>
            </w:pPr>
          </w:p>
        </w:tc>
        <w:tc>
          <w:tcPr>
            <w:tcW w:w="1701" w:type="dxa"/>
          </w:tcPr>
          <w:p w14:paraId="02A92721" w14:textId="77777777" w:rsidR="00EA4567" w:rsidRPr="00EA4567" w:rsidRDefault="00EA4567" w:rsidP="00701569">
            <w:pPr>
              <w:ind w:right="-6"/>
              <w:jc w:val="right"/>
              <w:rPr>
                <w:b/>
              </w:rPr>
            </w:pPr>
          </w:p>
        </w:tc>
        <w:tc>
          <w:tcPr>
            <w:tcW w:w="1470" w:type="dxa"/>
          </w:tcPr>
          <w:p w14:paraId="2E4EBCC2" w14:textId="77777777" w:rsidR="00EA4567" w:rsidRPr="00EA4567" w:rsidRDefault="00EA4567" w:rsidP="00701569">
            <w:pPr>
              <w:tabs>
                <w:tab w:val="left" w:pos="1254"/>
              </w:tabs>
              <w:jc w:val="right"/>
              <w:rPr>
                <w:b/>
              </w:rPr>
            </w:pPr>
          </w:p>
        </w:tc>
      </w:tr>
      <w:tr w:rsidR="00F00A73" w:rsidRPr="00EA4567" w14:paraId="78C395AA" w14:textId="77777777" w:rsidTr="00C26E9D">
        <w:tc>
          <w:tcPr>
            <w:tcW w:w="3510" w:type="dxa"/>
          </w:tcPr>
          <w:p w14:paraId="73106310" w14:textId="77777777" w:rsidR="00F00A73" w:rsidRPr="00EA4567" w:rsidRDefault="00F00A73" w:rsidP="00C26E9D">
            <w:pPr>
              <w:ind w:right="386"/>
              <w:rPr>
                <w:b/>
              </w:rPr>
            </w:pPr>
            <w:r w:rsidRPr="00EA4567">
              <w:rPr>
                <w:b/>
              </w:rPr>
              <w:t>Net Budget Requirement</w:t>
            </w:r>
          </w:p>
        </w:tc>
        <w:tc>
          <w:tcPr>
            <w:tcW w:w="1560" w:type="dxa"/>
          </w:tcPr>
          <w:p w14:paraId="56B558E5" w14:textId="6B17203A" w:rsidR="00F00A73" w:rsidRPr="00EA4567" w:rsidRDefault="00EA4567" w:rsidP="00A54031">
            <w:pPr>
              <w:tabs>
                <w:tab w:val="left" w:pos="1404"/>
              </w:tabs>
              <w:jc w:val="right"/>
              <w:rPr>
                <w:b/>
              </w:rPr>
            </w:pPr>
            <w:r w:rsidRPr="00EA4567">
              <w:rPr>
                <w:b/>
              </w:rPr>
              <w:t>21,2</w:t>
            </w:r>
            <w:r w:rsidR="00A54031">
              <w:rPr>
                <w:b/>
              </w:rPr>
              <w:t>81</w:t>
            </w:r>
          </w:p>
        </w:tc>
        <w:tc>
          <w:tcPr>
            <w:tcW w:w="1944" w:type="dxa"/>
          </w:tcPr>
          <w:p w14:paraId="06201B3E" w14:textId="2D1ABF7D" w:rsidR="00F00A73" w:rsidRPr="00EA4567" w:rsidRDefault="00EA4567" w:rsidP="00A54031">
            <w:pPr>
              <w:jc w:val="right"/>
              <w:rPr>
                <w:b/>
              </w:rPr>
            </w:pPr>
            <w:r w:rsidRPr="00EA4567">
              <w:rPr>
                <w:b/>
              </w:rPr>
              <w:t>22,</w:t>
            </w:r>
            <w:r w:rsidR="00A54031">
              <w:rPr>
                <w:b/>
              </w:rPr>
              <w:t>212</w:t>
            </w:r>
          </w:p>
        </w:tc>
        <w:tc>
          <w:tcPr>
            <w:tcW w:w="1701" w:type="dxa"/>
          </w:tcPr>
          <w:p w14:paraId="18C1C908" w14:textId="5B7DA93C" w:rsidR="00F00A73" w:rsidRPr="00EA4567" w:rsidRDefault="00EA4567" w:rsidP="00A54031">
            <w:pPr>
              <w:ind w:right="-6"/>
              <w:jc w:val="right"/>
              <w:rPr>
                <w:b/>
              </w:rPr>
            </w:pPr>
            <w:r w:rsidRPr="00EA4567">
              <w:rPr>
                <w:b/>
              </w:rPr>
              <w:t>21,8</w:t>
            </w:r>
            <w:r w:rsidR="00A54031">
              <w:rPr>
                <w:b/>
              </w:rPr>
              <w:t>76</w:t>
            </w:r>
          </w:p>
        </w:tc>
        <w:tc>
          <w:tcPr>
            <w:tcW w:w="1470" w:type="dxa"/>
          </w:tcPr>
          <w:p w14:paraId="5D49F186" w14:textId="7DDF3D84" w:rsidR="00F00A73" w:rsidRPr="00EA4567" w:rsidRDefault="00EA4567" w:rsidP="00A54031">
            <w:pPr>
              <w:tabs>
                <w:tab w:val="left" w:pos="1254"/>
              </w:tabs>
              <w:jc w:val="right"/>
              <w:rPr>
                <w:b/>
              </w:rPr>
            </w:pPr>
            <w:r w:rsidRPr="00EA4567">
              <w:rPr>
                <w:b/>
              </w:rPr>
              <w:t>22,2</w:t>
            </w:r>
            <w:r w:rsidR="00A54031">
              <w:rPr>
                <w:b/>
              </w:rPr>
              <w:t>99</w:t>
            </w:r>
          </w:p>
        </w:tc>
      </w:tr>
      <w:tr w:rsidR="00F00A73" w:rsidRPr="00EA4567" w14:paraId="03BAF1F2" w14:textId="77777777" w:rsidTr="005E4245">
        <w:tc>
          <w:tcPr>
            <w:tcW w:w="3510" w:type="dxa"/>
          </w:tcPr>
          <w:p w14:paraId="0251A1DC" w14:textId="77777777" w:rsidR="00F00A73" w:rsidRPr="00EA4567" w:rsidRDefault="00F00A73" w:rsidP="00E444D2">
            <w:pPr>
              <w:ind w:right="386"/>
              <w:rPr>
                <w:b/>
              </w:rPr>
            </w:pPr>
          </w:p>
        </w:tc>
        <w:tc>
          <w:tcPr>
            <w:tcW w:w="1560" w:type="dxa"/>
          </w:tcPr>
          <w:p w14:paraId="10BB1538" w14:textId="77777777" w:rsidR="00F00A73" w:rsidRPr="00EA4567" w:rsidRDefault="00F00A73" w:rsidP="005E4245">
            <w:pPr>
              <w:tabs>
                <w:tab w:val="left" w:pos="1404"/>
              </w:tabs>
              <w:jc w:val="right"/>
            </w:pPr>
          </w:p>
        </w:tc>
        <w:tc>
          <w:tcPr>
            <w:tcW w:w="1944" w:type="dxa"/>
          </w:tcPr>
          <w:p w14:paraId="7429C3D5" w14:textId="77777777" w:rsidR="00F00A73" w:rsidRPr="00EA4567" w:rsidRDefault="00F00A73" w:rsidP="005E4245">
            <w:pPr>
              <w:jc w:val="right"/>
            </w:pPr>
          </w:p>
        </w:tc>
        <w:tc>
          <w:tcPr>
            <w:tcW w:w="1701" w:type="dxa"/>
          </w:tcPr>
          <w:p w14:paraId="014AC5F5" w14:textId="77777777" w:rsidR="00F00A73" w:rsidRPr="00EA4567" w:rsidRDefault="00F00A73" w:rsidP="005E4245">
            <w:pPr>
              <w:ind w:right="-6"/>
              <w:jc w:val="right"/>
            </w:pPr>
          </w:p>
        </w:tc>
        <w:tc>
          <w:tcPr>
            <w:tcW w:w="1470" w:type="dxa"/>
          </w:tcPr>
          <w:p w14:paraId="2C98F9FC" w14:textId="77777777" w:rsidR="00F00A73" w:rsidRPr="00EA4567" w:rsidRDefault="00F00A73" w:rsidP="005E4245">
            <w:pPr>
              <w:tabs>
                <w:tab w:val="left" w:pos="1254"/>
              </w:tabs>
              <w:jc w:val="right"/>
            </w:pPr>
          </w:p>
        </w:tc>
      </w:tr>
      <w:tr w:rsidR="00F00A73" w:rsidRPr="00EA4567" w14:paraId="73093711" w14:textId="77777777" w:rsidTr="005E4245">
        <w:tc>
          <w:tcPr>
            <w:tcW w:w="3510" w:type="dxa"/>
          </w:tcPr>
          <w:p w14:paraId="35E09523" w14:textId="77777777" w:rsidR="00F00A73" w:rsidRPr="00EA4567" w:rsidRDefault="00F00A73" w:rsidP="00E444D2">
            <w:pPr>
              <w:ind w:right="386"/>
              <w:rPr>
                <w:b/>
              </w:rPr>
            </w:pPr>
            <w:r w:rsidRPr="00EA4567">
              <w:rPr>
                <w:b/>
              </w:rPr>
              <w:t>FUNDING</w:t>
            </w:r>
          </w:p>
        </w:tc>
        <w:tc>
          <w:tcPr>
            <w:tcW w:w="1560" w:type="dxa"/>
          </w:tcPr>
          <w:p w14:paraId="03C6351A" w14:textId="77777777" w:rsidR="00F00A73" w:rsidRPr="00EA4567" w:rsidRDefault="00F00A73" w:rsidP="005E4245">
            <w:pPr>
              <w:tabs>
                <w:tab w:val="left" w:pos="1404"/>
              </w:tabs>
              <w:jc w:val="right"/>
            </w:pPr>
          </w:p>
        </w:tc>
        <w:tc>
          <w:tcPr>
            <w:tcW w:w="1944" w:type="dxa"/>
          </w:tcPr>
          <w:p w14:paraId="65EFC5EA" w14:textId="77777777" w:rsidR="00F00A73" w:rsidRPr="00EA4567" w:rsidRDefault="00F00A73" w:rsidP="005E4245">
            <w:pPr>
              <w:jc w:val="right"/>
            </w:pPr>
          </w:p>
        </w:tc>
        <w:tc>
          <w:tcPr>
            <w:tcW w:w="1701" w:type="dxa"/>
          </w:tcPr>
          <w:p w14:paraId="3A8886F0" w14:textId="77777777" w:rsidR="00F00A73" w:rsidRPr="00EA4567" w:rsidRDefault="00F00A73" w:rsidP="005E4245">
            <w:pPr>
              <w:ind w:right="-6"/>
              <w:jc w:val="right"/>
            </w:pPr>
          </w:p>
        </w:tc>
        <w:tc>
          <w:tcPr>
            <w:tcW w:w="1470" w:type="dxa"/>
          </w:tcPr>
          <w:p w14:paraId="22AD725E" w14:textId="77777777" w:rsidR="00F00A73" w:rsidRPr="00EA4567" w:rsidRDefault="00F00A73" w:rsidP="005E4245">
            <w:pPr>
              <w:tabs>
                <w:tab w:val="left" w:pos="1254"/>
              </w:tabs>
              <w:jc w:val="right"/>
            </w:pPr>
          </w:p>
        </w:tc>
      </w:tr>
      <w:tr w:rsidR="00F00A73" w:rsidRPr="00EA4567" w14:paraId="518599FA" w14:textId="77777777" w:rsidTr="005E4245">
        <w:tc>
          <w:tcPr>
            <w:tcW w:w="3510" w:type="dxa"/>
          </w:tcPr>
          <w:p w14:paraId="43928CD9" w14:textId="77777777" w:rsidR="00F00A73" w:rsidRPr="00EA4567" w:rsidRDefault="00F00A73" w:rsidP="00E444D2">
            <w:pPr>
              <w:ind w:right="386"/>
            </w:pPr>
            <w:r w:rsidRPr="00EA4567">
              <w:t xml:space="preserve">Council Tax </w:t>
            </w:r>
          </w:p>
        </w:tc>
        <w:tc>
          <w:tcPr>
            <w:tcW w:w="1560" w:type="dxa"/>
          </w:tcPr>
          <w:p w14:paraId="68323C78" w14:textId="23A94C5C" w:rsidR="00F00A73" w:rsidRPr="00EA4567" w:rsidRDefault="00EA4567" w:rsidP="00A54031">
            <w:pPr>
              <w:tabs>
                <w:tab w:val="left" w:pos="1404"/>
              </w:tabs>
              <w:jc w:val="right"/>
            </w:pPr>
            <w:r w:rsidRPr="00EA4567">
              <w:t>(12,9</w:t>
            </w:r>
            <w:r w:rsidR="00A54031">
              <w:t>49</w:t>
            </w:r>
            <w:r w:rsidRPr="00EA4567">
              <w:t>)</w:t>
            </w:r>
          </w:p>
        </w:tc>
        <w:tc>
          <w:tcPr>
            <w:tcW w:w="1944" w:type="dxa"/>
          </w:tcPr>
          <w:p w14:paraId="6A46A70D" w14:textId="376C41F6" w:rsidR="00F00A73" w:rsidRPr="00EA4567" w:rsidRDefault="00EA4567" w:rsidP="00A54031">
            <w:pPr>
              <w:jc w:val="right"/>
            </w:pPr>
            <w:r w:rsidRPr="00EA4567">
              <w:t>(13,3</w:t>
            </w:r>
            <w:r w:rsidR="00A54031">
              <w:t>39</w:t>
            </w:r>
            <w:r w:rsidRPr="00EA4567">
              <w:t>)</w:t>
            </w:r>
          </w:p>
        </w:tc>
        <w:tc>
          <w:tcPr>
            <w:tcW w:w="1701" w:type="dxa"/>
          </w:tcPr>
          <w:p w14:paraId="3383874C" w14:textId="0F6F9DEE" w:rsidR="00F00A73" w:rsidRPr="00EA4567" w:rsidRDefault="00EA4567" w:rsidP="00A54031">
            <w:pPr>
              <w:ind w:right="-6"/>
              <w:jc w:val="right"/>
            </w:pPr>
            <w:r w:rsidRPr="00EA4567">
              <w:t>(13,7</w:t>
            </w:r>
            <w:r w:rsidR="00A54031">
              <w:t>40</w:t>
            </w:r>
            <w:r w:rsidRPr="00EA4567">
              <w:t>)</w:t>
            </w:r>
          </w:p>
        </w:tc>
        <w:tc>
          <w:tcPr>
            <w:tcW w:w="1470" w:type="dxa"/>
          </w:tcPr>
          <w:p w14:paraId="57EA45D3" w14:textId="1B7738F4" w:rsidR="00F00A73" w:rsidRPr="00EA4567" w:rsidRDefault="00EA4567" w:rsidP="00A54031">
            <w:pPr>
              <w:tabs>
                <w:tab w:val="left" w:pos="1254"/>
              </w:tabs>
              <w:jc w:val="right"/>
            </w:pPr>
            <w:r w:rsidRPr="00EA4567">
              <w:t>(14,1</w:t>
            </w:r>
            <w:r w:rsidR="00A54031">
              <w:t>54</w:t>
            </w:r>
            <w:r w:rsidRPr="00EA4567">
              <w:t>)</w:t>
            </w:r>
          </w:p>
        </w:tc>
      </w:tr>
      <w:tr w:rsidR="00F00A73" w:rsidRPr="00EA4567" w14:paraId="3DDEF788" w14:textId="77777777" w:rsidTr="005E4245">
        <w:tc>
          <w:tcPr>
            <w:tcW w:w="3510" w:type="dxa"/>
          </w:tcPr>
          <w:p w14:paraId="0D70DBFF" w14:textId="77777777" w:rsidR="00F00A73" w:rsidRPr="00EA4567" w:rsidRDefault="00F00A73" w:rsidP="00E444D2">
            <w:pPr>
              <w:ind w:right="386"/>
            </w:pPr>
            <w:r w:rsidRPr="00EA4567">
              <w:t>Revenue Support Grant</w:t>
            </w:r>
          </w:p>
        </w:tc>
        <w:tc>
          <w:tcPr>
            <w:tcW w:w="1560" w:type="dxa"/>
          </w:tcPr>
          <w:p w14:paraId="3DB486C0" w14:textId="77777777" w:rsidR="00F00A73" w:rsidRPr="00EA4567" w:rsidRDefault="00EA4567" w:rsidP="00DD0A73">
            <w:pPr>
              <w:tabs>
                <w:tab w:val="left" w:pos="1404"/>
              </w:tabs>
              <w:jc w:val="right"/>
            </w:pPr>
            <w:r w:rsidRPr="00EA4567">
              <w:t>(1,515)</w:t>
            </w:r>
          </w:p>
        </w:tc>
        <w:tc>
          <w:tcPr>
            <w:tcW w:w="1944" w:type="dxa"/>
          </w:tcPr>
          <w:p w14:paraId="51A247AB" w14:textId="77777777" w:rsidR="00F00A73" w:rsidRPr="00EA4567" w:rsidRDefault="00EA4567" w:rsidP="005E4245">
            <w:pPr>
              <w:jc w:val="right"/>
            </w:pPr>
            <w:r w:rsidRPr="00EA4567">
              <w:t>(630)</w:t>
            </w:r>
          </w:p>
        </w:tc>
        <w:tc>
          <w:tcPr>
            <w:tcW w:w="1701" w:type="dxa"/>
          </w:tcPr>
          <w:p w14:paraId="59A455BE" w14:textId="77777777" w:rsidR="00F00A73" w:rsidRPr="00EA4567" w:rsidRDefault="00EA4567" w:rsidP="005E4245">
            <w:pPr>
              <w:ind w:right="-6"/>
              <w:jc w:val="right"/>
            </w:pPr>
            <w:r w:rsidRPr="00EA4567">
              <w:t>-</w:t>
            </w:r>
          </w:p>
        </w:tc>
        <w:tc>
          <w:tcPr>
            <w:tcW w:w="1470" w:type="dxa"/>
          </w:tcPr>
          <w:p w14:paraId="107A4613" w14:textId="77777777" w:rsidR="00F00A73" w:rsidRPr="00EA4567" w:rsidRDefault="00EA4567" w:rsidP="005E4245">
            <w:pPr>
              <w:tabs>
                <w:tab w:val="left" w:pos="1254"/>
              </w:tabs>
              <w:jc w:val="right"/>
            </w:pPr>
            <w:r w:rsidRPr="00EA4567">
              <w:t>-</w:t>
            </w:r>
          </w:p>
        </w:tc>
      </w:tr>
      <w:tr w:rsidR="00F00A73" w:rsidRPr="00EA4567" w14:paraId="7D58C5D8" w14:textId="77777777" w:rsidTr="005E4245">
        <w:tc>
          <w:tcPr>
            <w:tcW w:w="3510" w:type="dxa"/>
          </w:tcPr>
          <w:p w14:paraId="2DCAF1D3" w14:textId="77777777" w:rsidR="00F00A73" w:rsidRPr="00EA4567" w:rsidRDefault="00F00A73" w:rsidP="00E444D2">
            <w:pPr>
              <w:ind w:right="386"/>
            </w:pPr>
            <w:r w:rsidRPr="00EA4567">
              <w:t>Retained Business Rates</w:t>
            </w:r>
          </w:p>
        </w:tc>
        <w:tc>
          <w:tcPr>
            <w:tcW w:w="1560" w:type="dxa"/>
          </w:tcPr>
          <w:p w14:paraId="5DAC0830" w14:textId="77777777" w:rsidR="00F00A73" w:rsidRPr="00EA4567" w:rsidRDefault="00EA4567" w:rsidP="002E3E05">
            <w:pPr>
              <w:tabs>
                <w:tab w:val="left" w:pos="1404"/>
              </w:tabs>
              <w:jc w:val="right"/>
            </w:pPr>
            <w:r w:rsidRPr="00EA4567">
              <w:t>(6,817)</w:t>
            </w:r>
          </w:p>
        </w:tc>
        <w:tc>
          <w:tcPr>
            <w:tcW w:w="1944" w:type="dxa"/>
          </w:tcPr>
          <w:p w14:paraId="2BC2FFCB" w14:textId="77777777" w:rsidR="00F00A73" w:rsidRPr="00EA4567" w:rsidRDefault="00EA4567" w:rsidP="002C60DF">
            <w:pPr>
              <w:jc w:val="right"/>
            </w:pPr>
            <w:r w:rsidRPr="00EA4567">
              <w:t>(8,243)</w:t>
            </w:r>
          </w:p>
        </w:tc>
        <w:tc>
          <w:tcPr>
            <w:tcW w:w="1701" w:type="dxa"/>
          </w:tcPr>
          <w:p w14:paraId="72DBC6DD" w14:textId="77777777" w:rsidR="00F00A73" w:rsidRPr="00EA4567" w:rsidRDefault="00EA4567" w:rsidP="005E4245">
            <w:pPr>
              <w:ind w:right="-6"/>
              <w:jc w:val="right"/>
            </w:pPr>
            <w:r w:rsidRPr="00EA4567">
              <w:t>(8,136)</w:t>
            </w:r>
          </w:p>
        </w:tc>
        <w:tc>
          <w:tcPr>
            <w:tcW w:w="1470" w:type="dxa"/>
          </w:tcPr>
          <w:p w14:paraId="74690E5C" w14:textId="77777777" w:rsidR="00F00A73" w:rsidRPr="00EA4567" w:rsidRDefault="00EA4567" w:rsidP="0037294C">
            <w:pPr>
              <w:tabs>
                <w:tab w:val="left" w:pos="1254"/>
              </w:tabs>
              <w:jc w:val="right"/>
            </w:pPr>
            <w:r w:rsidRPr="00EA4567">
              <w:t>(8,145)</w:t>
            </w:r>
          </w:p>
        </w:tc>
      </w:tr>
      <w:tr w:rsidR="00F00A73" w:rsidRPr="00EA4567" w14:paraId="3877C403" w14:textId="77777777" w:rsidTr="005E4245">
        <w:tc>
          <w:tcPr>
            <w:tcW w:w="3510" w:type="dxa"/>
          </w:tcPr>
          <w:p w14:paraId="51AAFB5C" w14:textId="77777777" w:rsidR="00F00A73" w:rsidRPr="00EA4567" w:rsidRDefault="00F00A73" w:rsidP="00E444D2">
            <w:pPr>
              <w:ind w:right="386"/>
              <w:rPr>
                <w:b/>
              </w:rPr>
            </w:pPr>
            <w:r w:rsidRPr="00EA4567">
              <w:rPr>
                <w:b/>
              </w:rPr>
              <w:t>Total</w:t>
            </w:r>
          </w:p>
        </w:tc>
        <w:tc>
          <w:tcPr>
            <w:tcW w:w="1560" w:type="dxa"/>
          </w:tcPr>
          <w:p w14:paraId="2779D70F" w14:textId="4F6D8107" w:rsidR="00F00A73" w:rsidRPr="00EA4567" w:rsidRDefault="00EA4567" w:rsidP="00A54031">
            <w:pPr>
              <w:tabs>
                <w:tab w:val="left" w:pos="1404"/>
              </w:tabs>
              <w:jc w:val="right"/>
              <w:rPr>
                <w:b/>
              </w:rPr>
            </w:pPr>
            <w:r w:rsidRPr="00EA4567">
              <w:rPr>
                <w:b/>
              </w:rPr>
              <w:t>(21,2</w:t>
            </w:r>
            <w:r w:rsidR="00A54031">
              <w:rPr>
                <w:b/>
              </w:rPr>
              <w:t>81</w:t>
            </w:r>
            <w:r w:rsidRPr="00EA4567">
              <w:rPr>
                <w:b/>
              </w:rPr>
              <w:t>)</w:t>
            </w:r>
          </w:p>
        </w:tc>
        <w:tc>
          <w:tcPr>
            <w:tcW w:w="1944" w:type="dxa"/>
          </w:tcPr>
          <w:p w14:paraId="083C1DBD" w14:textId="76D54F0C" w:rsidR="00F00A73" w:rsidRPr="00EA4567" w:rsidRDefault="00EA4567" w:rsidP="00A54031">
            <w:pPr>
              <w:jc w:val="right"/>
              <w:rPr>
                <w:b/>
              </w:rPr>
            </w:pPr>
            <w:r w:rsidRPr="00EA4567">
              <w:rPr>
                <w:b/>
              </w:rPr>
              <w:t>(22,</w:t>
            </w:r>
            <w:r w:rsidR="00A54031">
              <w:rPr>
                <w:b/>
              </w:rPr>
              <w:t>212</w:t>
            </w:r>
            <w:r w:rsidRPr="00EA4567">
              <w:rPr>
                <w:b/>
              </w:rPr>
              <w:t>)</w:t>
            </w:r>
          </w:p>
        </w:tc>
        <w:tc>
          <w:tcPr>
            <w:tcW w:w="1701" w:type="dxa"/>
          </w:tcPr>
          <w:p w14:paraId="054D937C" w14:textId="7A101A3A" w:rsidR="00F00A73" w:rsidRPr="00EA4567" w:rsidRDefault="00EA4567" w:rsidP="00A54031">
            <w:pPr>
              <w:ind w:right="-6"/>
              <w:jc w:val="right"/>
              <w:rPr>
                <w:b/>
              </w:rPr>
            </w:pPr>
            <w:r w:rsidRPr="00EA4567">
              <w:rPr>
                <w:b/>
              </w:rPr>
              <w:t>(21,8</w:t>
            </w:r>
            <w:r w:rsidR="00A54031">
              <w:rPr>
                <w:b/>
              </w:rPr>
              <w:t>76</w:t>
            </w:r>
            <w:r w:rsidRPr="00EA4567">
              <w:rPr>
                <w:b/>
              </w:rPr>
              <w:t>)</w:t>
            </w:r>
          </w:p>
        </w:tc>
        <w:tc>
          <w:tcPr>
            <w:tcW w:w="1470" w:type="dxa"/>
          </w:tcPr>
          <w:p w14:paraId="0C1FBBE4" w14:textId="549C6F96" w:rsidR="00F00A73" w:rsidRPr="00EA4567" w:rsidRDefault="00EA4567" w:rsidP="00A54031">
            <w:pPr>
              <w:tabs>
                <w:tab w:val="left" w:pos="1254"/>
              </w:tabs>
              <w:jc w:val="right"/>
              <w:rPr>
                <w:b/>
              </w:rPr>
            </w:pPr>
            <w:r w:rsidRPr="00EA4567">
              <w:rPr>
                <w:b/>
              </w:rPr>
              <w:t>(22,2</w:t>
            </w:r>
            <w:r w:rsidR="00A54031">
              <w:rPr>
                <w:b/>
              </w:rPr>
              <w:t>99</w:t>
            </w:r>
            <w:r w:rsidRPr="00EA4567">
              <w:rPr>
                <w:b/>
              </w:rPr>
              <w:t>)</w:t>
            </w:r>
          </w:p>
        </w:tc>
      </w:tr>
      <w:tr w:rsidR="00F00A73" w:rsidRPr="00EA4567" w14:paraId="39CE61B6" w14:textId="77777777" w:rsidTr="005E4245">
        <w:tc>
          <w:tcPr>
            <w:tcW w:w="3510" w:type="dxa"/>
          </w:tcPr>
          <w:p w14:paraId="65A78B0B" w14:textId="77777777" w:rsidR="00F00A73" w:rsidRPr="00EA4567" w:rsidRDefault="00F00A73" w:rsidP="00E444D2">
            <w:pPr>
              <w:ind w:right="386"/>
              <w:rPr>
                <w:b/>
              </w:rPr>
            </w:pPr>
          </w:p>
        </w:tc>
        <w:tc>
          <w:tcPr>
            <w:tcW w:w="1560" w:type="dxa"/>
          </w:tcPr>
          <w:p w14:paraId="678E0AAC" w14:textId="77777777" w:rsidR="00F00A73" w:rsidRPr="00EA4567" w:rsidRDefault="00F00A73" w:rsidP="005E4245">
            <w:pPr>
              <w:tabs>
                <w:tab w:val="left" w:pos="1404"/>
              </w:tabs>
              <w:jc w:val="right"/>
              <w:rPr>
                <w:b/>
              </w:rPr>
            </w:pPr>
          </w:p>
        </w:tc>
        <w:tc>
          <w:tcPr>
            <w:tcW w:w="1944" w:type="dxa"/>
          </w:tcPr>
          <w:p w14:paraId="4F3C54FB" w14:textId="77777777" w:rsidR="00F00A73" w:rsidRPr="00EA4567" w:rsidRDefault="00F00A73" w:rsidP="005E4245">
            <w:pPr>
              <w:jc w:val="right"/>
              <w:rPr>
                <w:b/>
              </w:rPr>
            </w:pPr>
          </w:p>
        </w:tc>
        <w:tc>
          <w:tcPr>
            <w:tcW w:w="1701" w:type="dxa"/>
          </w:tcPr>
          <w:p w14:paraId="5894FB9F" w14:textId="77777777" w:rsidR="00F00A73" w:rsidRPr="00EA4567" w:rsidRDefault="00F00A73" w:rsidP="005E4245">
            <w:pPr>
              <w:ind w:right="-6"/>
              <w:jc w:val="right"/>
              <w:rPr>
                <w:b/>
              </w:rPr>
            </w:pPr>
          </w:p>
        </w:tc>
        <w:tc>
          <w:tcPr>
            <w:tcW w:w="1470" w:type="dxa"/>
          </w:tcPr>
          <w:p w14:paraId="6685E5D1" w14:textId="77777777" w:rsidR="00F00A73" w:rsidRPr="00EA4567" w:rsidRDefault="00F00A73" w:rsidP="005E4245">
            <w:pPr>
              <w:tabs>
                <w:tab w:val="left" w:pos="1254"/>
              </w:tabs>
              <w:jc w:val="right"/>
              <w:rPr>
                <w:b/>
              </w:rPr>
            </w:pPr>
          </w:p>
        </w:tc>
      </w:tr>
      <w:tr w:rsidR="00F00A73" w:rsidRPr="00EA4567" w14:paraId="1986E195" w14:textId="77777777" w:rsidTr="005E4245">
        <w:tc>
          <w:tcPr>
            <w:tcW w:w="3510" w:type="dxa"/>
          </w:tcPr>
          <w:p w14:paraId="3D875457" w14:textId="77777777" w:rsidR="00F00A73" w:rsidRPr="00EA4567" w:rsidRDefault="00F00A73" w:rsidP="00E444D2">
            <w:pPr>
              <w:ind w:right="386"/>
              <w:rPr>
                <w:b/>
              </w:rPr>
            </w:pPr>
            <w:r w:rsidRPr="00EA4567">
              <w:rPr>
                <w:b/>
              </w:rPr>
              <w:t>Surplus/ (Deficit)</w:t>
            </w:r>
          </w:p>
        </w:tc>
        <w:tc>
          <w:tcPr>
            <w:tcW w:w="1560" w:type="dxa"/>
          </w:tcPr>
          <w:p w14:paraId="0BBB638D" w14:textId="77777777" w:rsidR="00F00A73" w:rsidRPr="00EA4567" w:rsidRDefault="00F00A73" w:rsidP="005E4245">
            <w:pPr>
              <w:tabs>
                <w:tab w:val="left" w:pos="1404"/>
              </w:tabs>
              <w:jc w:val="right"/>
              <w:rPr>
                <w:b/>
              </w:rPr>
            </w:pPr>
            <w:r w:rsidRPr="00EA4567">
              <w:rPr>
                <w:b/>
              </w:rPr>
              <w:t>0</w:t>
            </w:r>
          </w:p>
        </w:tc>
        <w:tc>
          <w:tcPr>
            <w:tcW w:w="1944" w:type="dxa"/>
          </w:tcPr>
          <w:p w14:paraId="2EE6D8D0" w14:textId="77777777" w:rsidR="00F00A73" w:rsidRPr="00EA4567" w:rsidRDefault="00F00A73" w:rsidP="005E4245">
            <w:pPr>
              <w:jc w:val="right"/>
              <w:rPr>
                <w:b/>
              </w:rPr>
            </w:pPr>
            <w:r w:rsidRPr="00EA4567">
              <w:rPr>
                <w:b/>
              </w:rPr>
              <w:t>0</w:t>
            </w:r>
          </w:p>
        </w:tc>
        <w:tc>
          <w:tcPr>
            <w:tcW w:w="1701" w:type="dxa"/>
          </w:tcPr>
          <w:p w14:paraId="69186D11" w14:textId="77777777" w:rsidR="00F00A73" w:rsidRPr="00EA4567" w:rsidRDefault="00F00A73" w:rsidP="005E4245">
            <w:pPr>
              <w:ind w:right="-6"/>
              <w:jc w:val="right"/>
              <w:rPr>
                <w:b/>
              </w:rPr>
            </w:pPr>
            <w:r w:rsidRPr="00EA4567">
              <w:rPr>
                <w:b/>
              </w:rPr>
              <w:t>0</w:t>
            </w:r>
          </w:p>
        </w:tc>
        <w:tc>
          <w:tcPr>
            <w:tcW w:w="1470" w:type="dxa"/>
          </w:tcPr>
          <w:p w14:paraId="691D0648" w14:textId="77777777" w:rsidR="00F00A73" w:rsidRPr="00EA4567" w:rsidRDefault="00F00A73" w:rsidP="0037294C">
            <w:pPr>
              <w:tabs>
                <w:tab w:val="left" w:pos="1254"/>
              </w:tabs>
              <w:jc w:val="right"/>
              <w:rPr>
                <w:b/>
              </w:rPr>
            </w:pPr>
            <w:r w:rsidRPr="00EA4567">
              <w:rPr>
                <w:b/>
              </w:rPr>
              <w:t>0</w:t>
            </w:r>
          </w:p>
        </w:tc>
      </w:tr>
    </w:tbl>
    <w:p w14:paraId="6688DA68" w14:textId="77777777" w:rsidR="009E7E43" w:rsidRPr="00EA4567" w:rsidRDefault="00F71A57" w:rsidP="00BB4D48">
      <w:pPr>
        <w:ind w:left="720" w:right="386"/>
      </w:pPr>
      <w:r w:rsidRPr="00EA4567">
        <w:tab/>
      </w:r>
      <w:r w:rsidRPr="00EA4567">
        <w:tab/>
      </w:r>
      <w:r w:rsidRPr="00EA4567">
        <w:tab/>
      </w:r>
      <w:r w:rsidRPr="00EA4567">
        <w:tab/>
      </w:r>
      <w:r w:rsidRPr="00EA4567">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42"/>
        <w:gridCol w:w="1984"/>
        <w:gridCol w:w="1694"/>
        <w:gridCol w:w="1440"/>
      </w:tblGrid>
      <w:tr w:rsidR="002A0774" w:rsidRPr="00EA4567" w14:paraId="60099854" w14:textId="77777777" w:rsidTr="005E4245">
        <w:tc>
          <w:tcPr>
            <w:tcW w:w="3528" w:type="dxa"/>
          </w:tcPr>
          <w:p w14:paraId="2B2FBA59" w14:textId="77777777" w:rsidR="002A0774" w:rsidRPr="00EA4567" w:rsidRDefault="002A0774" w:rsidP="00E444D2">
            <w:pPr>
              <w:ind w:right="386"/>
              <w:rPr>
                <w:b/>
              </w:rPr>
            </w:pPr>
            <w:r w:rsidRPr="00EA4567">
              <w:rPr>
                <w:b/>
              </w:rPr>
              <w:t>GENERAL FUND WORKING BALANCE</w:t>
            </w:r>
          </w:p>
        </w:tc>
        <w:tc>
          <w:tcPr>
            <w:tcW w:w="1542" w:type="dxa"/>
          </w:tcPr>
          <w:p w14:paraId="610CB7C1" w14:textId="7A3347C7" w:rsidR="002A0774" w:rsidRPr="00EA4567" w:rsidRDefault="002A0774" w:rsidP="00A54031">
            <w:pPr>
              <w:jc w:val="right"/>
              <w:rPr>
                <w:b/>
              </w:rPr>
            </w:pPr>
            <w:r w:rsidRPr="00EA4567">
              <w:rPr>
                <w:b/>
              </w:rPr>
              <w:t>3,</w:t>
            </w:r>
            <w:r w:rsidR="00A54031">
              <w:rPr>
                <w:b/>
              </w:rPr>
              <w:t>621</w:t>
            </w:r>
          </w:p>
        </w:tc>
        <w:tc>
          <w:tcPr>
            <w:tcW w:w="1984" w:type="dxa"/>
          </w:tcPr>
          <w:p w14:paraId="3FF255A2" w14:textId="26D4B06E" w:rsidR="002A0774" w:rsidRPr="00EA4567" w:rsidRDefault="00673090" w:rsidP="00A54031">
            <w:pPr>
              <w:jc w:val="right"/>
              <w:rPr>
                <w:b/>
              </w:rPr>
            </w:pPr>
            <w:r>
              <w:rPr>
                <w:b/>
              </w:rPr>
              <w:t>4</w:t>
            </w:r>
            <w:r w:rsidR="002A0774" w:rsidRPr="00EA4567">
              <w:rPr>
                <w:b/>
              </w:rPr>
              <w:t>,</w:t>
            </w:r>
            <w:r w:rsidR="00A54031">
              <w:rPr>
                <w:b/>
              </w:rPr>
              <w:t>382</w:t>
            </w:r>
          </w:p>
        </w:tc>
        <w:tc>
          <w:tcPr>
            <w:tcW w:w="1694" w:type="dxa"/>
          </w:tcPr>
          <w:p w14:paraId="4ECBFE9E" w14:textId="20436CF5" w:rsidR="002A0774" w:rsidRPr="00EA4567" w:rsidRDefault="00673090" w:rsidP="00A54031">
            <w:pPr>
              <w:jc w:val="right"/>
              <w:rPr>
                <w:b/>
              </w:rPr>
            </w:pPr>
            <w:r>
              <w:rPr>
                <w:b/>
              </w:rPr>
              <w:t>4,2</w:t>
            </w:r>
            <w:r w:rsidR="00A54031">
              <w:rPr>
                <w:b/>
              </w:rPr>
              <w:t>55</w:t>
            </w:r>
          </w:p>
        </w:tc>
        <w:tc>
          <w:tcPr>
            <w:tcW w:w="1440" w:type="dxa"/>
          </w:tcPr>
          <w:p w14:paraId="02F3DA47" w14:textId="04492E07" w:rsidR="002A0774" w:rsidRPr="00EA4567" w:rsidRDefault="002A0774" w:rsidP="00A54031">
            <w:pPr>
              <w:jc w:val="right"/>
              <w:rPr>
                <w:b/>
              </w:rPr>
            </w:pPr>
            <w:r w:rsidRPr="00EA4567">
              <w:rPr>
                <w:b/>
              </w:rPr>
              <w:t>3,</w:t>
            </w:r>
            <w:r w:rsidR="00711203">
              <w:rPr>
                <w:b/>
              </w:rPr>
              <w:t>62</w:t>
            </w:r>
            <w:r w:rsidR="00A54031">
              <w:rPr>
                <w:b/>
              </w:rPr>
              <w:t>1</w:t>
            </w:r>
          </w:p>
        </w:tc>
      </w:tr>
    </w:tbl>
    <w:p w14:paraId="6B25B3BE" w14:textId="77777777" w:rsidR="009E7E43" w:rsidRPr="002C2483" w:rsidRDefault="009E7E43" w:rsidP="009172F5">
      <w:pPr>
        <w:ind w:right="386"/>
        <w:rPr>
          <w:highlight w:val="yellow"/>
        </w:rPr>
      </w:pPr>
    </w:p>
    <w:p w14:paraId="206D8014" w14:textId="77777777" w:rsidR="009E67EF" w:rsidRPr="00925B76" w:rsidRDefault="009E67EF" w:rsidP="00942056">
      <w:pPr>
        <w:ind w:left="567" w:right="386"/>
        <w:rPr>
          <w:b/>
        </w:rPr>
      </w:pPr>
      <w:r w:rsidRPr="00925B76">
        <w:rPr>
          <w:b/>
        </w:rPr>
        <w:t>Key</w:t>
      </w:r>
    </w:p>
    <w:p w14:paraId="23D74314" w14:textId="474A6007" w:rsidR="009E67EF" w:rsidRPr="00925B76" w:rsidRDefault="009E67EF" w:rsidP="00302C27">
      <w:pPr>
        <w:numPr>
          <w:ilvl w:val="0"/>
          <w:numId w:val="11"/>
        </w:numPr>
        <w:tabs>
          <w:tab w:val="left" w:pos="851"/>
        </w:tabs>
        <w:ind w:left="851" w:right="386" w:hanging="284"/>
      </w:pPr>
      <w:r w:rsidRPr="00925B76">
        <w:rPr>
          <w:b/>
        </w:rPr>
        <w:t xml:space="preserve">MRP </w:t>
      </w:r>
      <w:r w:rsidRPr="00925B76">
        <w:t xml:space="preserve">– </w:t>
      </w:r>
      <w:r w:rsidRPr="00925B76">
        <w:rPr>
          <w:b/>
        </w:rPr>
        <w:t>Minimum Revenue Provision</w:t>
      </w:r>
      <w:r w:rsidRPr="00925B76">
        <w:t xml:space="preserve"> – A charge made to revenue in respect the cost of borrowing to fund the </w:t>
      </w:r>
      <w:r w:rsidR="00662F6E">
        <w:t>Capital Programme</w:t>
      </w:r>
      <w:r w:rsidRPr="00925B76">
        <w:t>.</w:t>
      </w:r>
    </w:p>
    <w:p w14:paraId="14351881" w14:textId="77777777" w:rsidR="009E67EF" w:rsidRPr="00925B76" w:rsidRDefault="009E67EF" w:rsidP="00302C27">
      <w:pPr>
        <w:numPr>
          <w:ilvl w:val="0"/>
          <w:numId w:val="11"/>
        </w:numPr>
        <w:tabs>
          <w:tab w:val="left" w:pos="851"/>
        </w:tabs>
        <w:ind w:left="851" w:right="386" w:hanging="284"/>
      </w:pPr>
      <w:r w:rsidRPr="00925B76">
        <w:rPr>
          <w:b/>
        </w:rPr>
        <w:t xml:space="preserve">NHB </w:t>
      </w:r>
      <w:r w:rsidRPr="00925B76">
        <w:t xml:space="preserve">– </w:t>
      </w:r>
      <w:r w:rsidRPr="00925B76">
        <w:rPr>
          <w:b/>
        </w:rPr>
        <w:t>New Homes Bonus</w:t>
      </w:r>
      <w:r w:rsidRPr="00925B76">
        <w:t xml:space="preserve"> - This grant is given for a </w:t>
      </w:r>
      <w:r w:rsidR="00925B76" w:rsidRPr="00925B76">
        <w:t>four</w:t>
      </w:r>
      <w:r w:rsidRPr="00925B76">
        <w:t xml:space="preserve"> year period based on new dwelling completions in year</w:t>
      </w:r>
      <w:r w:rsidR="002A0774" w:rsidRPr="00925B76">
        <w:t>.</w:t>
      </w:r>
    </w:p>
    <w:p w14:paraId="53F9D638" w14:textId="77777777" w:rsidR="00847CF3" w:rsidRPr="00673090" w:rsidRDefault="00847CF3" w:rsidP="00A61EDC">
      <w:pPr>
        <w:ind w:left="1440" w:right="386"/>
        <w:rPr>
          <w:b/>
          <w:highlight w:val="yellow"/>
        </w:rPr>
      </w:pPr>
    </w:p>
    <w:p w14:paraId="329BF584" w14:textId="77777777" w:rsidR="00673090" w:rsidRPr="00673090" w:rsidRDefault="00673090" w:rsidP="00673090">
      <w:pPr>
        <w:ind w:left="1440" w:right="386" w:hanging="873"/>
        <w:rPr>
          <w:b/>
        </w:rPr>
      </w:pPr>
      <w:r w:rsidRPr="00673090">
        <w:rPr>
          <w:b/>
        </w:rPr>
        <w:t>Use of Working Balances</w:t>
      </w:r>
    </w:p>
    <w:p w14:paraId="24269442" w14:textId="4559705B" w:rsidR="00673090" w:rsidRDefault="00301F89" w:rsidP="00673090">
      <w:pPr>
        <w:ind w:left="567" w:right="386" w:hanging="567"/>
      </w:pPr>
      <w:r>
        <w:t>3</w:t>
      </w:r>
      <w:r w:rsidR="009E1C3C">
        <w:t>4</w:t>
      </w:r>
      <w:r w:rsidR="00673090">
        <w:tab/>
        <w:t>The budget assumes transfers to and from the working balance which as at 1/4/2016 were £3.620 million</w:t>
      </w:r>
      <w:r w:rsidR="002B1918">
        <w:t>.</w:t>
      </w:r>
      <w:r w:rsidR="00673090">
        <w:t xml:space="preserve"> Over the four year period of the MTFP </w:t>
      </w:r>
      <w:r w:rsidR="00662F6E">
        <w:t>assuming delivery as planned</w:t>
      </w:r>
      <w:r w:rsidR="00513394">
        <w:t xml:space="preserve">, </w:t>
      </w:r>
      <w:r w:rsidR="00711203">
        <w:t>the balances are replenished</w:t>
      </w:r>
      <w:r w:rsidR="00673090">
        <w:t>.</w:t>
      </w:r>
    </w:p>
    <w:p w14:paraId="77127081" w14:textId="77777777" w:rsidR="00673090" w:rsidRDefault="00673090" w:rsidP="00673090">
      <w:pPr>
        <w:ind w:left="567" w:right="386" w:hanging="567"/>
      </w:pPr>
    </w:p>
    <w:p w14:paraId="1972FE79" w14:textId="77777777" w:rsidR="00673090" w:rsidRPr="00673090" w:rsidRDefault="00673090" w:rsidP="00673090">
      <w:pPr>
        <w:ind w:left="567" w:right="386" w:hanging="567"/>
      </w:pPr>
    </w:p>
    <w:p w14:paraId="6B993A4D" w14:textId="77777777" w:rsidR="00601571" w:rsidRPr="00B90A58" w:rsidRDefault="00601571" w:rsidP="007C20F4">
      <w:pPr>
        <w:ind w:right="386" w:firstLine="540"/>
        <w:rPr>
          <w:b/>
        </w:rPr>
      </w:pPr>
      <w:r w:rsidRPr="00B90A58">
        <w:rPr>
          <w:b/>
        </w:rPr>
        <w:t>Risk Implications</w:t>
      </w:r>
    </w:p>
    <w:p w14:paraId="705E8DB6" w14:textId="40F33150" w:rsidR="00227B6B" w:rsidRPr="00B90A58" w:rsidRDefault="00301F89" w:rsidP="00942056">
      <w:pPr>
        <w:ind w:left="567" w:right="386" w:hanging="567"/>
        <w:rPr>
          <w:sz w:val="22"/>
          <w:szCs w:val="22"/>
        </w:rPr>
      </w:pPr>
      <w:r>
        <w:t>3</w:t>
      </w:r>
      <w:r w:rsidR="009E1C3C">
        <w:t>5</w:t>
      </w:r>
      <w:r w:rsidR="001F439F" w:rsidRPr="00B90A58">
        <w:tab/>
      </w:r>
      <w:r w:rsidR="00227B6B" w:rsidRPr="00B90A58">
        <w:t xml:space="preserve">The main risks to the </w:t>
      </w:r>
      <w:r w:rsidR="00494F15" w:rsidRPr="00B90A58">
        <w:t xml:space="preserve">balanced position </w:t>
      </w:r>
      <w:r w:rsidR="005F7D66" w:rsidRPr="00B90A58">
        <w:t>of</w:t>
      </w:r>
      <w:r w:rsidR="00494F15" w:rsidRPr="00B90A58">
        <w:t xml:space="preserve"> the </w:t>
      </w:r>
      <w:r w:rsidR="00227B6B" w:rsidRPr="00B90A58">
        <w:t>General Fund consultation budget</w:t>
      </w:r>
      <w:r w:rsidR="00494F15" w:rsidRPr="00B90A58">
        <w:t xml:space="preserve"> </w:t>
      </w:r>
      <w:r w:rsidR="00FA2FF9" w:rsidRPr="00B90A58">
        <w:t xml:space="preserve">(Appendix </w:t>
      </w:r>
      <w:r w:rsidR="008C3B46">
        <w:t>8</w:t>
      </w:r>
      <w:r w:rsidR="00FA2FF9" w:rsidRPr="00B90A58">
        <w:t>)</w:t>
      </w:r>
      <w:r w:rsidR="00EC42E6" w:rsidRPr="00B90A58">
        <w:t xml:space="preserve"> </w:t>
      </w:r>
      <w:r w:rsidR="00494F15" w:rsidRPr="00B90A58">
        <w:t>are</w:t>
      </w:r>
      <w:r w:rsidR="0052514C" w:rsidRPr="00B90A58">
        <w:t xml:space="preserve"> that</w:t>
      </w:r>
      <w:r w:rsidR="00494F15" w:rsidRPr="00B90A58">
        <w:t>:</w:t>
      </w:r>
    </w:p>
    <w:p w14:paraId="766F7520" w14:textId="77777777" w:rsidR="002F134D" w:rsidRPr="00B90A58" w:rsidRDefault="002F134D" w:rsidP="00CE3A3C">
      <w:pPr>
        <w:numPr>
          <w:ilvl w:val="0"/>
          <w:numId w:val="1"/>
        </w:numPr>
        <w:tabs>
          <w:tab w:val="clear" w:pos="1080"/>
          <w:tab w:val="num" w:pos="851"/>
        </w:tabs>
        <w:ind w:left="851" w:right="386" w:hanging="284"/>
        <w:rPr>
          <w:szCs w:val="22"/>
        </w:rPr>
      </w:pPr>
      <w:r w:rsidRPr="00B90A58">
        <w:rPr>
          <w:szCs w:val="22"/>
        </w:rPr>
        <w:t>Variations of actual income and expenditure against budget especially in volatile areas such as income</w:t>
      </w:r>
    </w:p>
    <w:p w14:paraId="2CED5020" w14:textId="77777777" w:rsidR="0018345C" w:rsidRPr="00B90A58" w:rsidRDefault="0018345C" w:rsidP="00CE3A3C">
      <w:pPr>
        <w:numPr>
          <w:ilvl w:val="0"/>
          <w:numId w:val="1"/>
        </w:numPr>
        <w:tabs>
          <w:tab w:val="clear" w:pos="1080"/>
          <w:tab w:val="num" w:pos="851"/>
        </w:tabs>
        <w:ind w:left="851" w:right="386" w:hanging="284"/>
        <w:rPr>
          <w:szCs w:val="22"/>
        </w:rPr>
      </w:pPr>
      <w:r w:rsidRPr="00B90A58">
        <w:rPr>
          <w:szCs w:val="22"/>
        </w:rPr>
        <w:t>The Financial Settlement is not as favourable as is assumed in the above figures</w:t>
      </w:r>
    </w:p>
    <w:p w14:paraId="2727AD13" w14:textId="77777777" w:rsidR="0063583C" w:rsidRPr="00B90A58" w:rsidRDefault="00E462AA" w:rsidP="00CE3A3C">
      <w:pPr>
        <w:numPr>
          <w:ilvl w:val="0"/>
          <w:numId w:val="1"/>
        </w:numPr>
        <w:tabs>
          <w:tab w:val="clear" w:pos="1080"/>
          <w:tab w:val="num" w:pos="851"/>
        </w:tabs>
        <w:ind w:left="851" w:right="386" w:hanging="284"/>
        <w:rPr>
          <w:szCs w:val="22"/>
        </w:rPr>
      </w:pPr>
      <w:r w:rsidRPr="00B90A58">
        <w:rPr>
          <w:szCs w:val="22"/>
        </w:rPr>
        <w:t>Business Rate</w:t>
      </w:r>
      <w:r w:rsidR="0018345C" w:rsidRPr="00B90A58">
        <w:rPr>
          <w:szCs w:val="22"/>
        </w:rPr>
        <w:t xml:space="preserve">s income </w:t>
      </w:r>
      <w:r w:rsidRPr="00B90A58">
        <w:rPr>
          <w:szCs w:val="22"/>
        </w:rPr>
        <w:t xml:space="preserve"> </w:t>
      </w:r>
      <w:r w:rsidR="0018345C" w:rsidRPr="00B90A58">
        <w:rPr>
          <w:szCs w:val="22"/>
        </w:rPr>
        <w:t xml:space="preserve">is </w:t>
      </w:r>
      <w:r w:rsidR="00AB7A34" w:rsidRPr="00B90A58">
        <w:rPr>
          <w:szCs w:val="22"/>
        </w:rPr>
        <w:t>lower than</w:t>
      </w:r>
      <w:r w:rsidR="0018345C" w:rsidRPr="00B90A58">
        <w:rPr>
          <w:szCs w:val="22"/>
        </w:rPr>
        <w:t xml:space="preserve"> forecast</w:t>
      </w:r>
    </w:p>
    <w:p w14:paraId="38277663" w14:textId="77777777" w:rsidR="0063583C" w:rsidRPr="00B90A58" w:rsidRDefault="0063583C" w:rsidP="00CE3A3C">
      <w:pPr>
        <w:numPr>
          <w:ilvl w:val="0"/>
          <w:numId w:val="1"/>
        </w:numPr>
        <w:tabs>
          <w:tab w:val="clear" w:pos="1080"/>
          <w:tab w:val="num" w:pos="851"/>
        </w:tabs>
        <w:ind w:left="851" w:right="386" w:hanging="284"/>
        <w:rPr>
          <w:szCs w:val="22"/>
        </w:rPr>
      </w:pPr>
      <w:r w:rsidRPr="00B90A58">
        <w:rPr>
          <w:szCs w:val="22"/>
        </w:rPr>
        <w:t xml:space="preserve">Welfare Reform </w:t>
      </w:r>
      <w:r w:rsidR="00B61356" w:rsidRPr="00B90A58">
        <w:rPr>
          <w:szCs w:val="22"/>
        </w:rPr>
        <w:t>impacts</w:t>
      </w:r>
      <w:r w:rsidR="0018345C" w:rsidRPr="00B90A58">
        <w:rPr>
          <w:szCs w:val="22"/>
        </w:rPr>
        <w:t xml:space="preserve"> the autho</w:t>
      </w:r>
      <w:r w:rsidR="009363D0" w:rsidRPr="00B90A58">
        <w:rPr>
          <w:szCs w:val="22"/>
        </w:rPr>
        <w:t xml:space="preserve">rity more adversely than </w:t>
      </w:r>
      <w:r w:rsidR="00B61356" w:rsidRPr="00B90A58">
        <w:rPr>
          <w:szCs w:val="22"/>
        </w:rPr>
        <w:t>assumed</w:t>
      </w:r>
    </w:p>
    <w:p w14:paraId="5CF58E8D" w14:textId="77777777" w:rsidR="00494F15" w:rsidRPr="00B90A58" w:rsidRDefault="002B1918" w:rsidP="00CE3A3C">
      <w:pPr>
        <w:numPr>
          <w:ilvl w:val="0"/>
          <w:numId w:val="1"/>
        </w:numPr>
        <w:tabs>
          <w:tab w:val="clear" w:pos="1080"/>
          <w:tab w:val="num" w:pos="851"/>
        </w:tabs>
        <w:ind w:left="851" w:right="386" w:hanging="284"/>
        <w:rPr>
          <w:szCs w:val="22"/>
        </w:rPr>
      </w:pPr>
      <w:r>
        <w:rPr>
          <w:szCs w:val="22"/>
        </w:rPr>
        <w:t>Outcome of</w:t>
      </w:r>
      <w:r w:rsidR="0052514C" w:rsidRPr="00B90A58">
        <w:rPr>
          <w:szCs w:val="22"/>
        </w:rPr>
        <w:t xml:space="preserve"> </w:t>
      </w:r>
      <w:r w:rsidR="00D66434" w:rsidRPr="00B90A58">
        <w:rPr>
          <w:szCs w:val="22"/>
        </w:rPr>
        <w:t>New Homes Bonus</w:t>
      </w:r>
      <w:r w:rsidR="00B61356" w:rsidRPr="00B90A58">
        <w:rPr>
          <w:szCs w:val="22"/>
        </w:rPr>
        <w:t xml:space="preserve"> </w:t>
      </w:r>
      <w:r>
        <w:rPr>
          <w:szCs w:val="22"/>
        </w:rPr>
        <w:t xml:space="preserve">consultation </w:t>
      </w:r>
      <w:r w:rsidR="00AB7A34" w:rsidRPr="00B90A58">
        <w:rPr>
          <w:szCs w:val="22"/>
        </w:rPr>
        <w:t>is</w:t>
      </w:r>
      <w:r w:rsidR="00B61356" w:rsidRPr="00B90A58">
        <w:rPr>
          <w:szCs w:val="22"/>
        </w:rPr>
        <w:t xml:space="preserve"> </w:t>
      </w:r>
      <w:r>
        <w:rPr>
          <w:szCs w:val="22"/>
        </w:rPr>
        <w:t>not as favourable as assumed</w:t>
      </w:r>
    </w:p>
    <w:p w14:paraId="536AA837" w14:textId="77777777" w:rsidR="004876F5" w:rsidRPr="001C5E3F" w:rsidRDefault="00494F15" w:rsidP="00CE3A3C">
      <w:pPr>
        <w:numPr>
          <w:ilvl w:val="0"/>
          <w:numId w:val="1"/>
        </w:numPr>
        <w:tabs>
          <w:tab w:val="num" w:pos="851"/>
        </w:tabs>
        <w:ind w:left="851" w:right="386" w:hanging="284"/>
        <w:rPr>
          <w:sz w:val="22"/>
          <w:szCs w:val="22"/>
        </w:rPr>
      </w:pPr>
      <w:r w:rsidRPr="00B90A58">
        <w:rPr>
          <w:szCs w:val="22"/>
        </w:rPr>
        <w:t>Interest rates</w:t>
      </w:r>
      <w:r w:rsidR="00C9304F" w:rsidRPr="00B90A58">
        <w:rPr>
          <w:szCs w:val="22"/>
        </w:rPr>
        <w:t xml:space="preserve"> </w:t>
      </w:r>
      <w:r w:rsidR="004876F5" w:rsidRPr="00B90A58">
        <w:rPr>
          <w:szCs w:val="22"/>
        </w:rPr>
        <w:t>lower than projected</w:t>
      </w:r>
    </w:p>
    <w:p w14:paraId="4CE08C40" w14:textId="006E5F30" w:rsidR="001C5E3F" w:rsidRPr="00CE3A3C" w:rsidRDefault="001C5E3F" w:rsidP="00CE3A3C">
      <w:pPr>
        <w:numPr>
          <w:ilvl w:val="0"/>
          <w:numId w:val="1"/>
        </w:numPr>
        <w:tabs>
          <w:tab w:val="num" w:pos="851"/>
        </w:tabs>
        <w:ind w:left="851" w:right="386" w:hanging="284"/>
        <w:rPr>
          <w:sz w:val="22"/>
          <w:szCs w:val="22"/>
        </w:rPr>
      </w:pPr>
      <w:r>
        <w:rPr>
          <w:szCs w:val="22"/>
        </w:rPr>
        <w:t>Slippage in the capital programme adversely effects revenue savings and additional income in the MTFP</w:t>
      </w:r>
    </w:p>
    <w:p w14:paraId="386AD476" w14:textId="77777777" w:rsidR="00CE3A3C" w:rsidRPr="00B90A58" w:rsidRDefault="00CE3A3C" w:rsidP="00CE3A3C">
      <w:pPr>
        <w:ind w:left="851" w:right="386"/>
        <w:rPr>
          <w:sz w:val="22"/>
          <w:szCs w:val="22"/>
        </w:rPr>
      </w:pPr>
    </w:p>
    <w:p w14:paraId="3DC41C86" w14:textId="77777777" w:rsidR="00CB1092" w:rsidRPr="004E7064" w:rsidRDefault="00CB1092" w:rsidP="00CB1092">
      <w:pPr>
        <w:autoSpaceDE w:val="0"/>
        <w:autoSpaceDN w:val="0"/>
        <w:adjustRightInd w:val="0"/>
        <w:ind w:right="380"/>
        <w:jc w:val="both"/>
        <w:rPr>
          <w:rFonts w:cs="Arial"/>
          <w:b/>
          <w:sz w:val="28"/>
          <w:szCs w:val="28"/>
        </w:rPr>
      </w:pPr>
      <w:r w:rsidRPr="004E7064">
        <w:rPr>
          <w:rFonts w:cs="Arial"/>
          <w:b/>
          <w:sz w:val="28"/>
          <w:szCs w:val="28"/>
        </w:rPr>
        <w:t>Section C Housing Revenue Account Budget</w:t>
      </w:r>
    </w:p>
    <w:p w14:paraId="278712A7" w14:textId="77777777" w:rsidR="00CB1092" w:rsidRPr="002C2483" w:rsidRDefault="00CB1092" w:rsidP="00CB1092">
      <w:pPr>
        <w:autoSpaceDE w:val="0"/>
        <w:autoSpaceDN w:val="0"/>
        <w:adjustRightInd w:val="0"/>
        <w:ind w:right="380"/>
        <w:rPr>
          <w:rFonts w:cs="Arial"/>
          <w:highlight w:val="yellow"/>
        </w:rPr>
      </w:pPr>
    </w:p>
    <w:p w14:paraId="03E35F92" w14:textId="77777777" w:rsidR="00CB1092" w:rsidRPr="00DE7E55" w:rsidRDefault="00CB1092" w:rsidP="0027012B">
      <w:pPr>
        <w:autoSpaceDE w:val="0"/>
        <w:autoSpaceDN w:val="0"/>
        <w:adjustRightInd w:val="0"/>
        <w:ind w:left="567" w:right="380"/>
        <w:jc w:val="both"/>
        <w:rPr>
          <w:rFonts w:cs="Arial"/>
          <w:b/>
        </w:rPr>
      </w:pPr>
      <w:r w:rsidRPr="00DE7E55">
        <w:rPr>
          <w:rFonts w:cs="Arial"/>
          <w:b/>
        </w:rPr>
        <w:t>Background</w:t>
      </w:r>
    </w:p>
    <w:p w14:paraId="44D621C8" w14:textId="02B37819" w:rsidR="000675DC" w:rsidRPr="000675DC" w:rsidRDefault="00301F89" w:rsidP="0010427B">
      <w:pPr>
        <w:autoSpaceDE w:val="0"/>
        <w:autoSpaceDN w:val="0"/>
        <w:adjustRightInd w:val="0"/>
        <w:ind w:left="567" w:right="380" w:hanging="567"/>
        <w:jc w:val="both"/>
        <w:rPr>
          <w:rFonts w:cs="Arial"/>
        </w:rPr>
      </w:pPr>
      <w:r>
        <w:rPr>
          <w:rFonts w:cs="Arial"/>
        </w:rPr>
        <w:t>3</w:t>
      </w:r>
      <w:r w:rsidR="009E1C3C">
        <w:rPr>
          <w:rFonts w:cs="Arial"/>
        </w:rPr>
        <w:t>6</w:t>
      </w:r>
      <w:r w:rsidR="0010427B">
        <w:rPr>
          <w:rFonts w:cs="Arial"/>
        </w:rPr>
        <w:tab/>
      </w:r>
      <w:r w:rsidR="000675DC" w:rsidRPr="000675DC">
        <w:rPr>
          <w:rFonts w:cs="Arial"/>
        </w:rPr>
        <w:t xml:space="preserve">Since last summer legislation has been introduced bringing in significant changes to the delivery of  housing services by social landlords in both the Welfare Reform and Work Bill (annual 1% reduction in rents for 4 years starting in 2016/17) and the Housing and Planning </w:t>
      </w:r>
      <w:r w:rsidR="007803C4">
        <w:rPr>
          <w:rFonts w:cs="Arial"/>
        </w:rPr>
        <w:t>Act</w:t>
      </w:r>
      <w:r w:rsidR="007803C4" w:rsidRPr="000675DC">
        <w:rPr>
          <w:rFonts w:cs="Arial"/>
        </w:rPr>
        <w:t xml:space="preserve"> </w:t>
      </w:r>
      <w:r w:rsidR="000675DC" w:rsidRPr="000675DC">
        <w:rPr>
          <w:rFonts w:cs="Arial"/>
        </w:rPr>
        <w:t xml:space="preserve">(the forced sale of high value dwellings and pay to stay). These key changes are estimated to </w:t>
      </w:r>
      <w:r w:rsidR="000675DC">
        <w:rPr>
          <w:rFonts w:cs="Arial"/>
        </w:rPr>
        <w:t xml:space="preserve">have </w:t>
      </w:r>
      <w:r w:rsidR="000675DC" w:rsidRPr="000675DC">
        <w:rPr>
          <w:rFonts w:cs="Arial"/>
        </w:rPr>
        <w:t xml:space="preserve">cost Oxford City Council around £34 million in lost rent compared to the proposals in our previous rental strategy. </w:t>
      </w:r>
    </w:p>
    <w:p w14:paraId="65DAC2E8" w14:textId="77777777" w:rsidR="000675DC" w:rsidRPr="00DE7E55" w:rsidRDefault="000675DC" w:rsidP="00640321">
      <w:pPr>
        <w:autoSpaceDE w:val="0"/>
        <w:autoSpaceDN w:val="0"/>
        <w:adjustRightInd w:val="0"/>
        <w:ind w:left="567" w:right="380" w:hanging="567"/>
        <w:jc w:val="both"/>
        <w:rPr>
          <w:rFonts w:cs="Arial"/>
        </w:rPr>
      </w:pPr>
    </w:p>
    <w:p w14:paraId="1474228A" w14:textId="09EA4636" w:rsidR="00277E4B" w:rsidRDefault="008C3B46" w:rsidP="00640321">
      <w:pPr>
        <w:autoSpaceDE w:val="0"/>
        <w:autoSpaceDN w:val="0"/>
        <w:adjustRightInd w:val="0"/>
        <w:ind w:left="567" w:right="380" w:hanging="567"/>
        <w:jc w:val="both"/>
        <w:rPr>
          <w:rFonts w:cs="Arial"/>
        </w:rPr>
      </w:pPr>
      <w:r>
        <w:rPr>
          <w:rFonts w:cs="Arial"/>
        </w:rPr>
        <w:t>3</w:t>
      </w:r>
      <w:r w:rsidR="00BD0932">
        <w:rPr>
          <w:rFonts w:cs="Arial"/>
        </w:rPr>
        <w:t>7</w:t>
      </w:r>
      <w:r w:rsidR="0010427B">
        <w:rPr>
          <w:rFonts w:cs="Arial"/>
        </w:rPr>
        <w:tab/>
      </w:r>
      <w:r w:rsidR="00BD0932">
        <w:rPr>
          <w:rFonts w:cs="Arial"/>
        </w:rPr>
        <w:t>Very r</w:t>
      </w:r>
      <w:r w:rsidR="00DE7E55" w:rsidRPr="00DE7E55">
        <w:rPr>
          <w:rFonts w:cs="Arial"/>
        </w:rPr>
        <w:t xml:space="preserve">ecent ministerial </w:t>
      </w:r>
      <w:r w:rsidR="004E7064" w:rsidRPr="00DE7E55">
        <w:rPr>
          <w:rFonts w:cs="Arial"/>
        </w:rPr>
        <w:t>announcements</w:t>
      </w:r>
      <w:r w:rsidR="00DE7E55" w:rsidRPr="00DE7E55">
        <w:rPr>
          <w:rFonts w:cs="Arial"/>
        </w:rPr>
        <w:t xml:space="preserve"> </w:t>
      </w:r>
      <w:r w:rsidR="004E7064">
        <w:rPr>
          <w:rFonts w:cs="Arial"/>
        </w:rPr>
        <w:t xml:space="preserve">have </w:t>
      </w:r>
      <w:r w:rsidR="00A83443">
        <w:rPr>
          <w:rFonts w:cs="Arial"/>
        </w:rPr>
        <w:t>abandoned</w:t>
      </w:r>
      <w:r w:rsidR="00301F89">
        <w:rPr>
          <w:rFonts w:cs="Arial"/>
        </w:rPr>
        <w:t xml:space="preserve"> the </w:t>
      </w:r>
      <w:r w:rsidR="007803C4">
        <w:rPr>
          <w:rFonts w:cs="Arial"/>
        </w:rPr>
        <w:t>P</w:t>
      </w:r>
      <w:r w:rsidR="004E7064">
        <w:rPr>
          <w:rFonts w:cs="Arial"/>
        </w:rPr>
        <w:t xml:space="preserve">ay to </w:t>
      </w:r>
      <w:proofErr w:type="gramStart"/>
      <w:r w:rsidR="007803C4">
        <w:rPr>
          <w:rFonts w:cs="Arial"/>
        </w:rPr>
        <w:t>S</w:t>
      </w:r>
      <w:r w:rsidR="004E7064">
        <w:rPr>
          <w:rFonts w:cs="Arial"/>
        </w:rPr>
        <w:t>tay</w:t>
      </w:r>
      <w:proofErr w:type="gramEnd"/>
      <w:r w:rsidR="004E7064">
        <w:rPr>
          <w:rFonts w:cs="Arial"/>
        </w:rPr>
        <w:t xml:space="preserve"> </w:t>
      </w:r>
      <w:r w:rsidR="00301F89">
        <w:rPr>
          <w:rFonts w:cs="Arial"/>
        </w:rPr>
        <w:t xml:space="preserve">policy </w:t>
      </w:r>
      <w:r w:rsidR="00CE3A3C">
        <w:rPr>
          <w:rFonts w:cs="Arial"/>
        </w:rPr>
        <w:t xml:space="preserve">and </w:t>
      </w:r>
      <w:r w:rsidR="00BD0932">
        <w:rPr>
          <w:rFonts w:cs="Arial"/>
        </w:rPr>
        <w:t xml:space="preserve">confirmed that the </w:t>
      </w:r>
      <w:r w:rsidR="00301F89">
        <w:rPr>
          <w:rFonts w:cs="Arial"/>
        </w:rPr>
        <w:t>hi</w:t>
      </w:r>
      <w:r w:rsidR="004E7064">
        <w:rPr>
          <w:rFonts w:cs="Arial"/>
        </w:rPr>
        <w:t xml:space="preserve">gh value housing levy </w:t>
      </w:r>
      <w:r w:rsidR="00BD0932">
        <w:rPr>
          <w:rFonts w:cs="Arial"/>
        </w:rPr>
        <w:t>will not be implemented on 1</w:t>
      </w:r>
      <w:r w:rsidR="00BD0932" w:rsidRPr="00BD0932">
        <w:rPr>
          <w:rFonts w:cs="Arial"/>
          <w:vertAlign w:val="superscript"/>
        </w:rPr>
        <w:t>st</w:t>
      </w:r>
      <w:r w:rsidR="00BD0932">
        <w:rPr>
          <w:rFonts w:cs="Arial"/>
        </w:rPr>
        <w:t xml:space="preserve"> April 2017 as originally planned. </w:t>
      </w:r>
      <w:r w:rsidR="004E7064">
        <w:rPr>
          <w:rFonts w:cs="Arial"/>
        </w:rPr>
        <w:t xml:space="preserve"> </w:t>
      </w:r>
      <w:r w:rsidR="00BD0932">
        <w:rPr>
          <w:rFonts w:cs="Arial"/>
        </w:rPr>
        <w:t xml:space="preserve">The estimates have been prepared on the basis that the high value levy will proceed at some point as the Housing Minister Gavin </w:t>
      </w:r>
      <w:proofErr w:type="spellStart"/>
      <w:r w:rsidR="00BD0932">
        <w:rPr>
          <w:rFonts w:cs="Arial"/>
        </w:rPr>
        <w:t>Barwell</w:t>
      </w:r>
      <w:proofErr w:type="spellEnd"/>
      <w:r w:rsidR="00BD0932">
        <w:rPr>
          <w:rFonts w:cs="Arial"/>
        </w:rPr>
        <w:t xml:space="preserve"> </w:t>
      </w:r>
      <w:r w:rsidR="007803C4">
        <w:rPr>
          <w:rFonts w:cs="Arial"/>
        </w:rPr>
        <w:t xml:space="preserve">MP </w:t>
      </w:r>
      <w:r w:rsidR="00BD0932">
        <w:rPr>
          <w:rFonts w:cs="Arial"/>
        </w:rPr>
        <w:t xml:space="preserve">recently advised that the high value levy would require ‘quite a notice period’ and councils as well as the House of Lords and Commons would need to be consulted before the policy could be implemented. Councils would be advised ‘in due course’ on the implementation date for these policies. </w:t>
      </w:r>
    </w:p>
    <w:p w14:paraId="465DBCF5" w14:textId="77777777" w:rsidR="00277E4B" w:rsidRDefault="00277E4B" w:rsidP="00640321">
      <w:pPr>
        <w:autoSpaceDE w:val="0"/>
        <w:autoSpaceDN w:val="0"/>
        <w:adjustRightInd w:val="0"/>
        <w:ind w:left="567" w:right="380" w:hanging="567"/>
        <w:jc w:val="both"/>
        <w:rPr>
          <w:rFonts w:cs="Arial"/>
        </w:rPr>
      </w:pPr>
    </w:p>
    <w:p w14:paraId="1526DF05" w14:textId="4F5BE3FD" w:rsidR="00277E4B" w:rsidRDefault="008C3B46" w:rsidP="00CB2E55">
      <w:pPr>
        <w:autoSpaceDE w:val="0"/>
        <w:autoSpaceDN w:val="0"/>
        <w:adjustRightInd w:val="0"/>
        <w:ind w:left="567" w:right="380" w:hanging="567"/>
        <w:jc w:val="both"/>
        <w:rPr>
          <w:rFonts w:eastAsia="Calibri" w:cs="Arial"/>
        </w:rPr>
      </w:pPr>
      <w:r>
        <w:rPr>
          <w:rFonts w:cs="Arial"/>
        </w:rPr>
        <w:t>3</w:t>
      </w:r>
      <w:r w:rsidR="00BD0932">
        <w:rPr>
          <w:rFonts w:cs="Arial"/>
        </w:rPr>
        <w:t>8</w:t>
      </w:r>
      <w:r w:rsidR="0010427B">
        <w:rPr>
          <w:rFonts w:cs="Arial"/>
        </w:rPr>
        <w:tab/>
      </w:r>
      <w:r w:rsidR="00277E4B" w:rsidRPr="00493F14">
        <w:rPr>
          <w:rFonts w:eastAsia="Calibri" w:cs="Arial"/>
        </w:rPr>
        <w:t>An amount of £2</w:t>
      </w:r>
      <w:r w:rsidR="00A83443">
        <w:rPr>
          <w:rFonts w:eastAsia="Calibri" w:cs="Arial"/>
        </w:rPr>
        <w:t>3</w:t>
      </w:r>
      <w:r w:rsidR="00277E4B" w:rsidRPr="00493F14">
        <w:rPr>
          <w:rFonts w:eastAsia="Calibri" w:cs="Arial"/>
        </w:rPr>
        <w:t>.1 million has be</w:t>
      </w:r>
      <w:r w:rsidR="00493F14" w:rsidRPr="00493F14">
        <w:rPr>
          <w:rFonts w:eastAsia="Calibri" w:cs="Arial"/>
        </w:rPr>
        <w:t>en</w:t>
      </w:r>
      <w:r w:rsidR="00277E4B" w:rsidRPr="00493F14">
        <w:rPr>
          <w:rFonts w:eastAsia="Calibri" w:cs="Arial"/>
        </w:rPr>
        <w:t xml:space="preserve"> estimated as the amount of levy p</w:t>
      </w:r>
      <w:r w:rsidR="00CE3A3C">
        <w:rPr>
          <w:rFonts w:eastAsia="Calibri" w:cs="Arial"/>
        </w:rPr>
        <w:t>ayment over the next four years.</w:t>
      </w:r>
      <w:r w:rsidR="00277E4B" w:rsidRPr="00493F14">
        <w:rPr>
          <w:rFonts w:eastAsia="Calibri" w:cs="Arial"/>
        </w:rPr>
        <w:t xml:space="preserve"> This is based on the estimated number of high value dwellings that may become void over this period although in the absence of the Government</w:t>
      </w:r>
      <w:r w:rsidR="00812666">
        <w:rPr>
          <w:rFonts w:eastAsia="Calibri" w:cs="Arial"/>
        </w:rPr>
        <w:t>’s</w:t>
      </w:r>
      <w:r w:rsidR="00277E4B" w:rsidRPr="00493F14">
        <w:rPr>
          <w:rFonts w:eastAsia="Calibri" w:cs="Arial"/>
        </w:rPr>
        <w:t xml:space="preserve"> formula it is difficult to know for certain</w:t>
      </w:r>
      <w:r w:rsidR="000675DC">
        <w:rPr>
          <w:rFonts w:eastAsia="Calibri" w:cs="Arial"/>
        </w:rPr>
        <w:t xml:space="preserve"> how accurate this is</w:t>
      </w:r>
      <w:r w:rsidR="00277E4B" w:rsidRPr="00493F14">
        <w:rPr>
          <w:rFonts w:eastAsia="Calibri" w:cs="Arial"/>
        </w:rPr>
        <w:t xml:space="preserve">. </w:t>
      </w:r>
      <w:r w:rsidR="000675DC">
        <w:rPr>
          <w:rFonts w:eastAsia="Calibri" w:cs="Arial"/>
        </w:rPr>
        <w:t>S</w:t>
      </w:r>
      <w:r w:rsidR="00277E4B" w:rsidRPr="00493F14">
        <w:rPr>
          <w:rFonts w:eastAsia="Calibri" w:cs="Arial"/>
        </w:rPr>
        <w:t xml:space="preserve">etting </w:t>
      </w:r>
      <w:r w:rsidR="00277E4B" w:rsidRPr="00493F14">
        <w:rPr>
          <w:rFonts w:eastAsia="Calibri" w:cs="Arial"/>
        </w:rPr>
        <w:lastRenderedPageBreak/>
        <w:t xml:space="preserve">aside an amount in this manner </w:t>
      </w:r>
      <w:r w:rsidR="000675DC">
        <w:rPr>
          <w:rFonts w:eastAsia="Calibri" w:cs="Arial"/>
        </w:rPr>
        <w:t>should</w:t>
      </w:r>
      <w:r w:rsidR="00277E4B" w:rsidRPr="00493F14">
        <w:rPr>
          <w:rFonts w:eastAsia="Calibri" w:cs="Arial"/>
        </w:rPr>
        <w:t xml:space="preserve"> </w:t>
      </w:r>
      <w:r w:rsidR="00493F14" w:rsidRPr="00493F14">
        <w:rPr>
          <w:rFonts w:eastAsia="Calibri" w:cs="Arial"/>
        </w:rPr>
        <w:t>mitigate the need to dispose of dwellings to fund the levy</w:t>
      </w:r>
      <w:r w:rsidR="000675DC">
        <w:rPr>
          <w:rFonts w:eastAsia="Calibri" w:cs="Arial"/>
        </w:rPr>
        <w:t xml:space="preserve"> in the short to medium term</w:t>
      </w:r>
      <w:r w:rsidR="00EE5727">
        <w:rPr>
          <w:rFonts w:eastAsia="Calibri" w:cs="Arial"/>
        </w:rPr>
        <w:t>.</w:t>
      </w:r>
      <w:r w:rsidR="00277E4B" w:rsidRPr="00493F14">
        <w:rPr>
          <w:rFonts w:eastAsia="Calibri" w:cs="Arial"/>
        </w:rPr>
        <w:t xml:space="preserve">  </w:t>
      </w:r>
    </w:p>
    <w:p w14:paraId="0F467865" w14:textId="77777777" w:rsidR="00277E4B" w:rsidRPr="00493F14" w:rsidRDefault="00277E4B" w:rsidP="006D6F73">
      <w:pPr>
        <w:rPr>
          <w:rFonts w:eastAsia="Calibri" w:cs="Arial"/>
        </w:rPr>
      </w:pPr>
    </w:p>
    <w:p w14:paraId="1D85694D" w14:textId="77777777" w:rsidR="00CB1092" w:rsidRPr="0027012B" w:rsidRDefault="00640321" w:rsidP="00C143DE">
      <w:pPr>
        <w:autoSpaceDE w:val="0"/>
        <w:autoSpaceDN w:val="0"/>
        <w:adjustRightInd w:val="0"/>
        <w:ind w:left="567" w:right="380" w:hanging="567"/>
        <w:jc w:val="both"/>
        <w:rPr>
          <w:rFonts w:cs="Arial"/>
        </w:rPr>
      </w:pPr>
      <w:r w:rsidRPr="0027012B">
        <w:rPr>
          <w:rFonts w:cs="Arial"/>
        </w:rPr>
        <w:t xml:space="preserve">  </w:t>
      </w:r>
      <w:r w:rsidR="00CB1092" w:rsidRPr="0027012B">
        <w:rPr>
          <w:rFonts w:cs="Arial"/>
          <w:b/>
        </w:rPr>
        <w:t>Key assumptions made in preparing the HRA budget</w:t>
      </w:r>
      <w:r w:rsidR="00CA168A" w:rsidRPr="0027012B">
        <w:rPr>
          <w:rFonts w:cs="Arial"/>
          <w:b/>
        </w:rPr>
        <w:t xml:space="preserve"> for 201</w:t>
      </w:r>
      <w:r w:rsidR="005C674D" w:rsidRPr="0027012B">
        <w:rPr>
          <w:rFonts w:cs="Arial"/>
          <w:b/>
        </w:rPr>
        <w:t>7</w:t>
      </w:r>
      <w:r w:rsidR="00CA168A" w:rsidRPr="0027012B">
        <w:rPr>
          <w:rFonts w:cs="Arial"/>
          <w:b/>
        </w:rPr>
        <w:t>/1</w:t>
      </w:r>
      <w:r w:rsidR="005C674D" w:rsidRPr="0027012B">
        <w:rPr>
          <w:rFonts w:cs="Arial"/>
          <w:b/>
        </w:rPr>
        <w:t>8</w:t>
      </w:r>
      <w:r w:rsidR="00CA168A" w:rsidRPr="0027012B">
        <w:rPr>
          <w:rFonts w:cs="Arial"/>
          <w:b/>
        </w:rPr>
        <w:t xml:space="preserve"> – 20</w:t>
      </w:r>
      <w:r w:rsidR="00884460" w:rsidRPr="0027012B">
        <w:rPr>
          <w:rFonts w:cs="Arial"/>
          <w:b/>
        </w:rPr>
        <w:t>20</w:t>
      </w:r>
      <w:r w:rsidR="005C674D" w:rsidRPr="0027012B">
        <w:rPr>
          <w:rFonts w:cs="Arial"/>
          <w:b/>
        </w:rPr>
        <w:t>/21</w:t>
      </w:r>
      <w:r w:rsidR="00CB1092" w:rsidRPr="0027012B">
        <w:rPr>
          <w:rFonts w:cs="Arial"/>
          <w:b/>
        </w:rPr>
        <w:t xml:space="preserve"> </w:t>
      </w:r>
      <w:r w:rsidR="00CB1092" w:rsidRPr="0027012B">
        <w:rPr>
          <w:rFonts w:cs="Arial"/>
        </w:rPr>
        <w:t xml:space="preserve"> </w:t>
      </w:r>
    </w:p>
    <w:p w14:paraId="222561B4" w14:textId="77777777" w:rsidR="00CB1092" w:rsidRPr="0027012B" w:rsidRDefault="00CB1092" w:rsidP="00CB1092">
      <w:pPr>
        <w:autoSpaceDE w:val="0"/>
        <w:autoSpaceDN w:val="0"/>
        <w:adjustRightInd w:val="0"/>
        <w:ind w:right="380"/>
        <w:rPr>
          <w:rFonts w:cs="Arial"/>
        </w:rPr>
      </w:pPr>
    </w:p>
    <w:p w14:paraId="0F21E8BF" w14:textId="77777777" w:rsidR="00CB383F" w:rsidRPr="0027012B" w:rsidRDefault="00CB383F" w:rsidP="00302C27">
      <w:pPr>
        <w:numPr>
          <w:ilvl w:val="0"/>
          <w:numId w:val="17"/>
        </w:numPr>
        <w:rPr>
          <w:rFonts w:cs="Arial"/>
        </w:rPr>
      </w:pPr>
      <w:r w:rsidRPr="0027012B">
        <w:rPr>
          <w:rFonts w:eastAsia="Calibri" w:cs="Arial"/>
          <w:b/>
        </w:rPr>
        <w:t xml:space="preserve">Rent setting </w:t>
      </w:r>
      <w:r w:rsidR="009B0C19" w:rsidRPr="0027012B">
        <w:rPr>
          <w:rFonts w:eastAsia="Calibri" w:cs="Arial"/>
          <w:b/>
        </w:rPr>
        <w:t>–</w:t>
      </w:r>
      <w:r w:rsidRPr="0027012B">
        <w:rPr>
          <w:rFonts w:eastAsia="Calibri" w:cs="Arial"/>
          <w:b/>
        </w:rPr>
        <w:t xml:space="preserve"> </w:t>
      </w:r>
      <w:r w:rsidR="005C674D" w:rsidRPr="0027012B">
        <w:rPr>
          <w:rFonts w:eastAsia="Calibri" w:cs="Arial"/>
        </w:rPr>
        <w:t xml:space="preserve">The Welfare Reform and Work Bill introduced a policy with effect from April 2016 that social housing rents must be reduced by 1% per year for 4 years from their 8 July 2015 position. The Government have given no indication about what rental policy </w:t>
      </w:r>
      <w:r w:rsidR="002B1918">
        <w:rPr>
          <w:rFonts w:eastAsia="Calibri" w:cs="Arial"/>
        </w:rPr>
        <w:t xml:space="preserve">should </w:t>
      </w:r>
      <w:r w:rsidR="005C674D" w:rsidRPr="0027012B">
        <w:rPr>
          <w:rFonts w:eastAsia="Calibri" w:cs="Arial"/>
        </w:rPr>
        <w:t xml:space="preserve">be adopted thereafter. </w:t>
      </w:r>
      <w:r w:rsidR="002B1918">
        <w:rPr>
          <w:rFonts w:eastAsia="Calibri" w:cs="Arial"/>
        </w:rPr>
        <w:t>T</w:t>
      </w:r>
      <w:r w:rsidR="005C674D" w:rsidRPr="0027012B">
        <w:rPr>
          <w:rFonts w:eastAsia="Calibri" w:cs="Arial"/>
        </w:rPr>
        <w:t xml:space="preserve">he assumption is that the Council will </w:t>
      </w:r>
      <w:r w:rsidR="003E43D7">
        <w:rPr>
          <w:rFonts w:eastAsia="Calibri" w:cs="Arial"/>
        </w:rPr>
        <w:t xml:space="preserve">adopt a rent strategy that will </w:t>
      </w:r>
      <w:r w:rsidR="00AD4C32" w:rsidRPr="0027012B">
        <w:rPr>
          <w:rFonts w:eastAsia="Calibri" w:cs="Arial"/>
        </w:rPr>
        <w:t xml:space="preserve">move rents to target rent over a four year period </w:t>
      </w:r>
      <w:r w:rsidR="003E43D7">
        <w:rPr>
          <w:rFonts w:eastAsia="Calibri" w:cs="Arial"/>
        </w:rPr>
        <w:t xml:space="preserve">between </w:t>
      </w:r>
      <w:r w:rsidR="00AD4C32" w:rsidRPr="0027012B">
        <w:rPr>
          <w:rFonts w:eastAsia="Calibri" w:cs="Arial"/>
        </w:rPr>
        <w:t xml:space="preserve">2020/21 </w:t>
      </w:r>
      <w:r w:rsidR="003E43D7">
        <w:rPr>
          <w:rFonts w:eastAsia="Calibri" w:cs="Arial"/>
        </w:rPr>
        <w:t>and</w:t>
      </w:r>
      <w:r w:rsidR="00AD4C32" w:rsidRPr="0027012B">
        <w:rPr>
          <w:rFonts w:eastAsia="Calibri" w:cs="Arial"/>
        </w:rPr>
        <w:t xml:space="preserve"> 2023/24. Thereafter rents will be increased by the Governments previous guideline of CPI + 1%. The impact on rents for 2017/18 </w:t>
      </w:r>
      <w:r w:rsidR="00884460" w:rsidRPr="0027012B">
        <w:rPr>
          <w:rFonts w:eastAsia="Calibri" w:cs="Arial"/>
        </w:rPr>
        <w:t xml:space="preserve">is shown in Appendix  </w:t>
      </w:r>
      <w:r w:rsidR="007E18CF" w:rsidRPr="0027012B">
        <w:rPr>
          <w:rFonts w:eastAsia="Calibri" w:cs="Arial"/>
        </w:rPr>
        <w:t>5</w:t>
      </w:r>
      <w:r w:rsidR="00884460" w:rsidRPr="0027012B">
        <w:rPr>
          <w:rFonts w:eastAsia="Calibri" w:cs="Arial"/>
        </w:rPr>
        <w:t xml:space="preserve"> with a summary over the next </w:t>
      </w:r>
      <w:r w:rsidR="00AD4C32" w:rsidRPr="0027012B">
        <w:rPr>
          <w:rFonts w:eastAsia="Calibri" w:cs="Arial"/>
        </w:rPr>
        <w:t>4</w:t>
      </w:r>
      <w:r w:rsidR="00884460" w:rsidRPr="0027012B">
        <w:rPr>
          <w:rFonts w:eastAsia="Calibri" w:cs="Arial"/>
        </w:rPr>
        <w:t xml:space="preserve"> years shown below:</w:t>
      </w:r>
    </w:p>
    <w:p w14:paraId="22EA9D43" w14:textId="77777777" w:rsidR="00C37801" w:rsidRPr="0027012B" w:rsidRDefault="00C37801" w:rsidP="00C37801">
      <w:pPr>
        <w:rPr>
          <w:rFonts w:cs="Arial"/>
        </w:rPr>
      </w:pPr>
    </w:p>
    <w:p w14:paraId="1D9FDDD2" w14:textId="77777777" w:rsidR="00A02588" w:rsidRPr="0027012B" w:rsidRDefault="00A02588" w:rsidP="00A02588">
      <w:pPr>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442"/>
        <w:gridCol w:w="1675"/>
        <w:gridCol w:w="1623"/>
      </w:tblGrid>
      <w:tr w:rsidR="008C3B46" w:rsidRPr="0027012B" w14:paraId="376FF068" w14:textId="77777777" w:rsidTr="007F5360">
        <w:tc>
          <w:tcPr>
            <w:tcW w:w="9242" w:type="dxa"/>
            <w:gridSpan w:val="4"/>
            <w:shd w:val="clear" w:color="auto" w:fill="BFBFBF"/>
          </w:tcPr>
          <w:p w14:paraId="190D89E6" w14:textId="77777777" w:rsidR="008C3B46" w:rsidRPr="0027012B" w:rsidRDefault="008C3B46" w:rsidP="0027012B">
            <w:pPr>
              <w:rPr>
                <w:rFonts w:cs="Arial"/>
                <w:b/>
              </w:rPr>
            </w:pPr>
            <w:r w:rsidRPr="0027012B">
              <w:rPr>
                <w:rFonts w:cs="Arial"/>
                <w:b/>
              </w:rPr>
              <w:t>Table 9 : Effect of Rent Changes on Average Rent 2017/18 to 2020/21</w:t>
            </w:r>
          </w:p>
        </w:tc>
      </w:tr>
      <w:tr w:rsidR="00493F14" w:rsidRPr="0027012B" w14:paraId="7BB25AF1" w14:textId="77777777" w:rsidTr="00493F14">
        <w:tc>
          <w:tcPr>
            <w:tcW w:w="4502" w:type="dxa"/>
            <w:shd w:val="clear" w:color="auto" w:fill="BFBFBF"/>
          </w:tcPr>
          <w:p w14:paraId="5C6693EE" w14:textId="77777777" w:rsidR="00493F14" w:rsidRPr="0027012B" w:rsidRDefault="00493F14" w:rsidP="00884460">
            <w:pPr>
              <w:rPr>
                <w:rFonts w:cs="Arial"/>
              </w:rPr>
            </w:pPr>
          </w:p>
        </w:tc>
        <w:tc>
          <w:tcPr>
            <w:tcW w:w="1442" w:type="dxa"/>
            <w:shd w:val="clear" w:color="auto" w:fill="BFBFBF"/>
          </w:tcPr>
          <w:p w14:paraId="6645FC9B" w14:textId="77777777" w:rsidR="00493F14" w:rsidRPr="0027012B" w:rsidRDefault="00493F14" w:rsidP="00AD4C32">
            <w:pPr>
              <w:jc w:val="center"/>
              <w:rPr>
                <w:rFonts w:cs="Arial"/>
                <w:b/>
              </w:rPr>
            </w:pPr>
            <w:r>
              <w:rPr>
                <w:rFonts w:cs="Arial"/>
                <w:b/>
              </w:rPr>
              <w:t>Change</w:t>
            </w:r>
          </w:p>
        </w:tc>
        <w:tc>
          <w:tcPr>
            <w:tcW w:w="1675" w:type="dxa"/>
            <w:shd w:val="clear" w:color="auto" w:fill="BFBFBF"/>
          </w:tcPr>
          <w:p w14:paraId="25F8BCC6" w14:textId="77777777" w:rsidR="00493F14" w:rsidRPr="0027012B" w:rsidRDefault="00493F14" w:rsidP="00AD4C32">
            <w:pPr>
              <w:jc w:val="center"/>
              <w:rPr>
                <w:rFonts w:cs="Arial"/>
                <w:b/>
              </w:rPr>
            </w:pPr>
            <w:r w:rsidRPr="0027012B">
              <w:rPr>
                <w:rFonts w:cs="Arial"/>
                <w:b/>
              </w:rPr>
              <w:t>Average weekly change</w:t>
            </w:r>
          </w:p>
        </w:tc>
        <w:tc>
          <w:tcPr>
            <w:tcW w:w="1623" w:type="dxa"/>
            <w:shd w:val="clear" w:color="auto" w:fill="BFBFBF"/>
          </w:tcPr>
          <w:p w14:paraId="526EB213" w14:textId="77777777" w:rsidR="00493F14" w:rsidRPr="0027012B" w:rsidRDefault="00493F14" w:rsidP="00714164">
            <w:pPr>
              <w:jc w:val="center"/>
              <w:rPr>
                <w:rFonts w:cs="Arial"/>
                <w:b/>
              </w:rPr>
            </w:pPr>
            <w:r w:rsidRPr="0027012B">
              <w:rPr>
                <w:rFonts w:cs="Arial"/>
                <w:b/>
              </w:rPr>
              <w:t>Average weekly Rent</w:t>
            </w:r>
          </w:p>
        </w:tc>
      </w:tr>
      <w:tr w:rsidR="00493F14" w:rsidRPr="0027012B" w14:paraId="61BDB38D" w14:textId="77777777" w:rsidTr="00493F14">
        <w:tc>
          <w:tcPr>
            <w:tcW w:w="4502" w:type="dxa"/>
            <w:shd w:val="clear" w:color="auto" w:fill="auto"/>
          </w:tcPr>
          <w:p w14:paraId="0457B9CE" w14:textId="77777777" w:rsidR="00493F14" w:rsidRPr="0027012B" w:rsidRDefault="00493F14" w:rsidP="00884460">
            <w:pPr>
              <w:rPr>
                <w:rFonts w:cs="Arial"/>
              </w:rPr>
            </w:pPr>
          </w:p>
        </w:tc>
        <w:tc>
          <w:tcPr>
            <w:tcW w:w="1442" w:type="dxa"/>
          </w:tcPr>
          <w:p w14:paraId="347FB6D4" w14:textId="77777777" w:rsidR="00493F14" w:rsidRPr="0027012B" w:rsidRDefault="00493F14" w:rsidP="00714164">
            <w:pPr>
              <w:jc w:val="center"/>
              <w:rPr>
                <w:rFonts w:cs="Arial"/>
              </w:rPr>
            </w:pPr>
            <w:r>
              <w:rPr>
                <w:rFonts w:cs="Arial"/>
              </w:rPr>
              <w:t>%</w:t>
            </w:r>
          </w:p>
        </w:tc>
        <w:tc>
          <w:tcPr>
            <w:tcW w:w="1675" w:type="dxa"/>
            <w:shd w:val="clear" w:color="auto" w:fill="auto"/>
          </w:tcPr>
          <w:p w14:paraId="2295B630" w14:textId="77777777" w:rsidR="00493F14" w:rsidRPr="0027012B" w:rsidRDefault="00493F14" w:rsidP="00714164">
            <w:pPr>
              <w:jc w:val="center"/>
              <w:rPr>
                <w:rFonts w:cs="Arial"/>
              </w:rPr>
            </w:pPr>
            <w:r w:rsidRPr="0027012B">
              <w:rPr>
                <w:rFonts w:cs="Arial"/>
              </w:rPr>
              <w:t>£</w:t>
            </w:r>
          </w:p>
        </w:tc>
        <w:tc>
          <w:tcPr>
            <w:tcW w:w="1623" w:type="dxa"/>
            <w:shd w:val="clear" w:color="auto" w:fill="auto"/>
          </w:tcPr>
          <w:p w14:paraId="647B1ABD" w14:textId="77777777" w:rsidR="00493F14" w:rsidRPr="0027012B" w:rsidRDefault="00493F14" w:rsidP="00714164">
            <w:pPr>
              <w:jc w:val="center"/>
              <w:rPr>
                <w:rFonts w:cs="Arial"/>
              </w:rPr>
            </w:pPr>
            <w:r w:rsidRPr="0027012B">
              <w:rPr>
                <w:rFonts w:cs="Arial"/>
              </w:rPr>
              <w:t>£</w:t>
            </w:r>
          </w:p>
        </w:tc>
      </w:tr>
      <w:tr w:rsidR="00493F14" w:rsidRPr="0027012B" w14:paraId="4D8D2237" w14:textId="77777777" w:rsidTr="00493F14">
        <w:tc>
          <w:tcPr>
            <w:tcW w:w="4502" w:type="dxa"/>
            <w:shd w:val="clear" w:color="auto" w:fill="auto"/>
          </w:tcPr>
          <w:p w14:paraId="459E21D5" w14:textId="77777777" w:rsidR="00493F14" w:rsidRPr="0027012B" w:rsidRDefault="00493F14" w:rsidP="00E508D1">
            <w:pPr>
              <w:rPr>
                <w:rFonts w:cs="Arial"/>
              </w:rPr>
            </w:pPr>
            <w:r w:rsidRPr="0027012B">
              <w:rPr>
                <w:rFonts w:cs="Arial"/>
              </w:rPr>
              <w:t>2017/18</w:t>
            </w:r>
          </w:p>
        </w:tc>
        <w:tc>
          <w:tcPr>
            <w:tcW w:w="1442" w:type="dxa"/>
          </w:tcPr>
          <w:p w14:paraId="5E84BAA6" w14:textId="77777777" w:rsidR="00493F14" w:rsidRPr="0027012B" w:rsidRDefault="00493F14" w:rsidP="00CC5F66">
            <w:pPr>
              <w:jc w:val="right"/>
              <w:rPr>
                <w:rFonts w:cs="Arial"/>
              </w:rPr>
            </w:pPr>
            <w:r>
              <w:rPr>
                <w:rFonts w:cs="Arial"/>
              </w:rPr>
              <w:t>**(0.89)</w:t>
            </w:r>
          </w:p>
        </w:tc>
        <w:tc>
          <w:tcPr>
            <w:tcW w:w="1675" w:type="dxa"/>
            <w:shd w:val="clear" w:color="auto" w:fill="auto"/>
          </w:tcPr>
          <w:p w14:paraId="24F95D14" w14:textId="77777777" w:rsidR="00493F14" w:rsidRPr="0027012B" w:rsidRDefault="00493F14" w:rsidP="00CC5F66">
            <w:pPr>
              <w:jc w:val="right"/>
              <w:rPr>
                <w:rFonts w:cs="Arial"/>
              </w:rPr>
            </w:pPr>
            <w:r w:rsidRPr="0027012B">
              <w:rPr>
                <w:rFonts w:cs="Arial"/>
              </w:rPr>
              <w:t>(0.95)</w:t>
            </w:r>
          </w:p>
        </w:tc>
        <w:tc>
          <w:tcPr>
            <w:tcW w:w="1623" w:type="dxa"/>
            <w:shd w:val="clear" w:color="auto" w:fill="auto"/>
          </w:tcPr>
          <w:p w14:paraId="0D749BE4" w14:textId="77777777" w:rsidR="00493F14" w:rsidRPr="0027012B" w:rsidRDefault="00493F14" w:rsidP="00CC5F66">
            <w:pPr>
              <w:jc w:val="right"/>
              <w:rPr>
                <w:rFonts w:cs="Arial"/>
              </w:rPr>
            </w:pPr>
            <w:r w:rsidRPr="0027012B">
              <w:rPr>
                <w:rFonts w:cs="Arial"/>
              </w:rPr>
              <w:t>105.65</w:t>
            </w:r>
          </w:p>
        </w:tc>
      </w:tr>
      <w:tr w:rsidR="00493F14" w:rsidRPr="0027012B" w14:paraId="14398011" w14:textId="77777777" w:rsidTr="00493F14">
        <w:tc>
          <w:tcPr>
            <w:tcW w:w="4502" w:type="dxa"/>
            <w:shd w:val="clear" w:color="auto" w:fill="auto"/>
          </w:tcPr>
          <w:p w14:paraId="3A666E26" w14:textId="77777777" w:rsidR="00493F14" w:rsidRPr="0027012B" w:rsidRDefault="00493F14" w:rsidP="00AD4C32">
            <w:pPr>
              <w:rPr>
                <w:rFonts w:cs="Arial"/>
              </w:rPr>
            </w:pPr>
            <w:r w:rsidRPr="0027012B">
              <w:rPr>
                <w:rFonts w:cs="Arial"/>
              </w:rPr>
              <w:t>2018/19</w:t>
            </w:r>
          </w:p>
        </w:tc>
        <w:tc>
          <w:tcPr>
            <w:tcW w:w="1442" w:type="dxa"/>
          </w:tcPr>
          <w:p w14:paraId="069C7D4D" w14:textId="77777777" w:rsidR="00493F14" w:rsidRPr="0027012B" w:rsidRDefault="00493F14" w:rsidP="00CC5F66">
            <w:pPr>
              <w:jc w:val="right"/>
              <w:rPr>
                <w:rFonts w:cs="Arial"/>
              </w:rPr>
            </w:pPr>
            <w:r>
              <w:rPr>
                <w:rFonts w:cs="Arial"/>
              </w:rPr>
              <w:t>**(0.87)</w:t>
            </w:r>
          </w:p>
        </w:tc>
        <w:tc>
          <w:tcPr>
            <w:tcW w:w="1675" w:type="dxa"/>
            <w:shd w:val="clear" w:color="auto" w:fill="auto"/>
          </w:tcPr>
          <w:p w14:paraId="3C7FB01D" w14:textId="77777777" w:rsidR="00493F14" w:rsidRPr="0027012B" w:rsidRDefault="00493F14" w:rsidP="00CC5F66">
            <w:pPr>
              <w:jc w:val="right"/>
              <w:rPr>
                <w:rFonts w:cs="Arial"/>
              </w:rPr>
            </w:pPr>
            <w:r w:rsidRPr="0027012B">
              <w:rPr>
                <w:rFonts w:cs="Arial"/>
              </w:rPr>
              <w:t>(0.92)</w:t>
            </w:r>
          </w:p>
        </w:tc>
        <w:tc>
          <w:tcPr>
            <w:tcW w:w="1623" w:type="dxa"/>
            <w:shd w:val="clear" w:color="auto" w:fill="auto"/>
          </w:tcPr>
          <w:p w14:paraId="09942AC5" w14:textId="77777777" w:rsidR="00493F14" w:rsidRPr="0027012B" w:rsidRDefault="00493F14" w:rsidP="00CC5F66">
            <w:pPr>
              <w:jc w:val="right"/>
              <w:rPr>
                <w:rFonts w:cs="Arial"/>
              </w:rPr>
            </w:pPr>
            <w:r w:rsidRPr="0027012B">
              <w:rPr>
                <w:rFonts w:cs="Arial"/>
              </w:rPr>
              <w:t>104.73</w:t>
            </w:r>
          </w:p>
        </w:tc>
      </w:tr>
      <w:tr w:rsidR="00493F14" w:rsidRPr="0027012B" w14:paraId="2C2C7512" w14:textId="77777777" w:rsidTr="00493F14">
        <w:tc>
          <w:tcPr>
            <w:tcW w:w="4502" w:type="dxa"/>
            <w:shd w:val="clear" w:color="auto" w:fill="auto"/>
          </w:tcPr>
          <w:p w14:paraId="7CF2BE00" w14:textId="77777777" w:rsidR="00493F14" w:rsidRPr="0027012B" w:rsidRDefault="00493F14" w:rsidP="00AD4C32">
            <w:pPr>
              <w:rPr>
                <w:rFonts w:cs="Arial"/>
              </w:rPr>
            </w:pPr>
            <w:r w:rsidRPr="0027012B">
              <w:rPr>
                <w:rFonts w:cs="Arial"/>
              </w:rPr>
              <w:t>2019/20</w:t>
            </w:r>
          </w:p>
        </w:tc>
        <w:tc>
          <w:tcPr>
            <w:tcW w:w="1442" w:type="dxa"/>
          </w:tcPr>
          <w:p w14:paraId="076FFE30" w14:textId="77777777" w:rsidR="00493F14" w:rsidRPr="0027012B" w:rsidRDefault="00493F14" w:rsidP="00CC5F66">
            <w:pPr>
              <w:jc w:val="right"/>
              <w:rPr>
                <w:rFonts w:cs="Arial"/>
              </w:rPr>
            </w:pPr>
            <w:r>
              <w:rPr>
                <w:rFonts w:cs="Arial"/>
              </w:rPr>
              <w:t>**(0.87)</w:t>
            </w:r>
          </w:p>
        </w:tc>
        <w:tc>
          <w:tcPr>
            <w:tcW w:w="1675" w:type="dxa"/>
            <w:shd w:val="clear" w:color="auto" w:fill="auto"/>
          </w:tcPr>
          <w:p w14:paraId="6E773866" w14:textId="77777777" w:rsidR="00493F14" w:rsidRPr="0027012B" w:rsidRDefault="00493F14" w:rsidP="00CC5F66">
            <w:pPr>
              <w:jc w:val="right"/>
              <w:rPr>
                <w:rFonts w:cs="Arial"/>
              </w:rPr>
            </w:pPr>
            <w:r w:rsidRPr="0027012B">
              <w:rPr>
                <w:rFonts w:cs="Arial"/>
              </w:rPr>
              <w:t>(0.92)</w:t>
            </w:r>
          </w:p>
        </w:tc>
        <w:tc>
          <w:tcPr>
            <w:tcW w:w="1623" w:type="dxa"/>
            <w:shd w:val="clear" w:color="auto" w:fill="auto"/>
          </w:tcPr>
          <w:p w14:paraId="6EBB8D66" w14:textId="77777777" w:rsidR="00493F14" w:rsidRPr="0027012B" w:rsidRDefault="00493F14" w:rsidP="00CC5F66">
            <w:pPr>
              <w:jc w:val="right"/>
              <w:rPr>
                <w:rFonts w:cs="Arial"/>
              </w:rPr>
            </w:pPr>
            <w:r w:rsidRPr="0027012B">
              <w:rPr>
                <w:rFonts w:cs="Arial"/>
              </w:rPr>
              <w:t>103.82</w:t>
            </w:r>
          </w:p>
        </w:tc>
      </w:tr>
      <w:tr w:rsidR="00493F14" w:rsidRPr="0027012B" w14:paraId="7D67DBF0" w14:textId="77777777" w:rsidTr="00493F14">
        <w:tc>
          <w:tcPr>
            <w:tcW w:w="4502" w:type="dxa"/>
            <w:shd w:val="clear" w:color="auto" w:fill="auto"/>
          </w:tcPr>
          <w:p w14:paraId="4094067C" w14:textId="77777777" w:rsidR="00493F14" w:rsidRPr="0027012B" w:rsidRDefault="00493F14" w:rsidP="00AD4C32">
            <w:pPr>
              <w:rPr>
                <w:rFonts w:cs="Arial"/>
              </w:rPr>
            </w:pPr>
            <w:r w:rsidRPr="0027012B">
              <w:rPr>
                <w:rFonts w:cs="Arial"/>
              </w:rPr>
              <w:t>2020/21</w:t>
            </w:r>
          </w:p>
        </w:tc>
        <w:tc>
          <w:tcPr>
            <w:tcW w:w="1442" w:type="dxa"/>
          </w:tcPr>
          <w:p w14:paraId="09C99FD0" w14:textId="77777777" w:rsidR="00493F14" w:rsidRPr="0027012B" w:rsidRDefault="00493F14" w:rsidP="00CC5F66">
            <w:pPr>
              <w:jc w:val="right"/>
              <w:rPr>
                <w:rFonts w:cs="Arial"/>
              </w:rPr>
            </w:pPr>
            <w:r>
              <w:rPr>
                <w:rFonts w:cs="Arial"/>
              </w:rPr>
              <w:t>4.04</w:t>
            </w:r>
          </w:p>
        </w:tc>
        <w:tc>
          <w:tcPr>
            <w:tcW w:w="1675" w:type="dxa"/>
            <w:shd w:val="clear" w:color="auto" w:fill="auto"/>
          </w:tcPr>
          <w:p w14:paraId="17049D19" w14:textId="77777777" w:rsidR="00493F14" w:rsidRPr="0027012B" w:rsidRDefault="00493F14" w:rsidP="00CC5F66">
            <w:pPr>
              <w:jc w:val="right"/>
              <w:rPr>
                <w:rFonts w:cs="Arial"/>
              </w:rPr>
            </w:pPr>
            <w:r w:rsidRPr="0027012B">
              <w:rPr>
                <w:rFonts w:cs="Arial"/>
              </w:rPr>
              <w:t>4.19</w:t>
            </w:r>
          </w:p>
        </w:tc>
        <w:tc>
          <w:tcPr>
            <w:tcW w:w="1623" w:type="dxa"/>
            <w:shd w:val="clear" w:color="auto" w:fill="auto"/>
          </w:tcPr>
          <w:p w14:paraId="270B73D8" w14:textId="77777777" w:rsidR="00493F14" w:rsidRPr="0027012B" w:rsidRDefault="00493F14" w:rsidP="00CC5F66">
            <w:pPr>
              <w:jc w:val="right"/>
              <w:rPr>
                <w:rFonts w:cs="Arial"/>
              </w:rPr>
            </w:pPr>
            <w:r w:rsidRPr="0027012B">
              <w:rPr>
                <w:rFonts w:cs="Arial"/>
              </w:rPr>
              <w:t>108.01</w:t>
            </w:r>
          </w:p>
        </w:tc>
      </w:tr>
    </w:tbl>
    <w:p w14:paraId="146D886A" w14:textId="77777777" w:rsidR="00884460" w:rsidRDefault="00884460" w:rsidP="00884460">
      <w:pPr>
        <w:ind w:left="720"/>
        <w:rPr>
          <w:rFonts w:cs="Arial"/>
          <w:highlight w:val="yellow"/>
        </w:rPr>
      </w:pPr>
    </w:p>
    <w:p w14:paraId="491718A8" w14:textId="77777777" w:rsidR="00493F14" w:rsidRPr="0028120E" w:rsidRDefault="00493F14" w:rsidP="00884460">
      <w:pPr>
        <w:ind w:left="720"/>
        <w:rPr>
          <w:rFonts w:cs="Arial"/>
        </w:rPr>
      </w:pPr>
      <w:r w:rsidRPr="0028120E">
        <w:rPr>
          <w:rFonts w:cs="Arial"/>
        </w:rPr>
        <w:t>** These changes are slightly less tha</w:t>
      </w:r>
      <w:r w:rsidR="0028120E" w:rsidRPr="0028120E">
        <w:rPr>
          <w:rFonts w:cs="Arial"/>
        </w:rPr>
        <w:t>n</w:t>
      </w:r>
      <w:r w:rsidRPr="0028120E">
        <w:rPr>
          <w:rFonts w:cs="Arial"/>
        </w:rPr>
        <w:t xml:space="preserve"> 1% as</w:t>
      </w:r>
      <w:r w:rsidR="0028120E" w:rsidRPr="0028120E">
        <w:rPr>
          <w:rFonts w:cs="Arial"/>
        </w:rPr>
        <w:t xml:space="preserve"> new tenants occupying void properties are charged at target rent immediately and some of stock is occupied by homeless families that are charged at L</w:t>
      </w:r>
      <w:r w:rsidR="008C3B46">
        <w:rPr>
          <w:rFonts w:cs="Arial"/>
        </w:rPr>
        <w:t xml:space="preserve">ocal </w:t>
      </w:r>
      <w:r w:rsidR="0028120E" w:rsidRPr="0028120E">
        <w:rPr>
          <w:rFonts w:cs="Arial"/>
        </w:rPr>
        <w:t>H</w:t>
      </w:r>
      <w:r w:rsidR="008C3B46">
        <w:rPr>
          <w:rFonts w:cs="Arial"/>
        </w:rPr>
        <w:t xml:space="preserve">ousing </w:t>
      </w:r>
      <w:r w:rsidR="0028120E" w:rsidRPr="0028120E">
        <w:rPr>
          <w:rFonts w:cs="Arial"/>
        </w:rPr>
        <w:t>A</w:t>
      </w:r>
      <w:r w:rsidR="008C3B46">
        <w:rPr>
          <w:rFonts w:cs="Arial"/>
        </w:rPr>
        <w:t>llowance (LHA)</w:t>
      </w:r>
      <w:r w:rsidR="0028120E" w:rsidRPr="0028120E">
        <w:rPr>
          <w:rFonts w:cs="Arial"/>
        </w:rPr>
        <w:t xml:space="preserve"> rents</w:t>
      </w:r>
      <w:r w:rsidRPr="0028120E">
        <w:rPr>
          <w:rFonts w:cs="Arial"/>
        </w:rPr>
        <w:t xml:space="preserve"> </w:t>
      </w:r>
    </w:p>
    <w:p w14:paraId="1619D02E" w14:textId="77777777" w:rsidR="00493F14" w:rsidRPr="002C2483" w:rsidRDefault="00493F14" w:rsidP="00884460">
      <w:pPr>
        <w:ind w:left="720"/>
        <w:rPr>
          <w:rFonts w:cs="Arial"/>
          <w:highlight w:val="yellow"/>
        </w:rPr>
      </w:pPr>
    </w:p>
    <w:p w14:paraId="775444CE" w14:textId="3EA6E3F6" w:rsidR="001606EC" w:rsidRPr="00EE5727" w:rsidRDefault="00CB383F" w:rsidP="00302C27">
      <w:pPr>
        <w:numPr>
          <w:ilvl w:val="0"/>
          <w:numId w:val="7"/>
        </w:numPr>
        <w:spacing w:after="120"/>
        <w:ind w:left="851" w:hanging="284"/>
        <w:rPr>
          <w:rFonts w:eastAsia="Calibri" w:cs="Arial"/>
        </w:rPr>
      </w:pPr>
      <w:r w:rsidRPr="00EE5727">
        <w:rPr>
          <w:rFonts w:eastAsia="Calibri" w:cs="Arial"/>
          <w:b/>
        </w:rPr>
        <w:t xml:space="preserve">Debt Management Strategy </w:t>
      </w:r>
    </w:p>
    <w:p w14:paraId="76E099B4" w14:textId="5E25A09E" w:rsidR="00CB383F" w:rsidRDefault="00776FF8" w:rsidP="001606EC">
      <w:pPr>
        <w:spacing w:after="120"/>
        <w:ind w:left="851"/>
        <w:rPr>
          <w:rFonts w:eastAsia="Calibri" w:cs="Arial"/>
        </w:rPr>
      </w:pPr>
      <w:r w:rsidRPr="00EE5727">
        <w:rPr>
          <w:rFonts w:eastAsia="Calibri" w:cs="Arial"/>
        </w:rPr>
        <w:t>T</w:t>
      </w:r>
      <w:r w:rsidR="00CB383F" w:rsidRPr="00EE5727">
        <w:rPr>
          <w:rFonts w:eastAsia="Calibri" w:cs="Arial"/>
        </w:rPr>
        <w:t xml:space="preserve">he first £20m self- financing loan </w:t>
      </w:r>
      <w:r w:rsidRPr="00EE5727">
        <w:rPr>
          <w:rFonts w:eastAsia="Calibri" w:cs="Arial"/>
        </w:rPr>
        <w:t xml:space="preserve">is due for repayment </w:t>
      </w:r>
      <w:r w:rsidR="00A238F7" w:rsidRPr="00EE5727">
        <w:rPr>
          <w:rFonts w:eastAsia="Calibri" w:cs="Arial"/>
        </w:rPr>
        <w:t>o</w:t>
      </w:r>
      <w:r w:rsidR="00CB383F" w:rsidRPr="00EE5727">
        <w:rPr>
          <w:rFonts w:eastAsia="Calibri" w:cs="Arial"/>
        </w:rPr>
        <w:t xml:space="preserve">n </w:t>
      </w:r>
      <w:r w:rsidR="00A238F7" w:rsidRPr="00EE5727">
        <w:rPr>
          <w:rFonts w:eastAsia="Calibri" w:cs="Arial"/>
        </w:rPr>
        <w:t xml:space="preserve">31 March </w:t>
      </w:r>
      <w:r w:rsidR="00CB383F" w:rsidRPr="00EE5727">
        <w:rPr>
          <w:rFonts w:eastAsia="Calibri" w:cs="Arial"/>
        </w:rPr>
        <w:t>2021</w:t>
      </w:r>
      <w:r w:rsidRPr="00EE5727">
        <w:rPr>
          <w:rFonts w:eastAsia="Calibri" w:cs="Arial"/>
        </w:rPr>
        <w:t xml:space="preserve">. </w:t>
      </w:r>
      <w:r w:rsidR="001945A0" w:rsidRPr="00EE5727">
        <w:rPr>
          <w:rFonts w:eastAsia="Calibri" w:cs="Arial"/>
        </w:rPr>
        <w:t xml:space="preserve">Last year it was agreed that this payment would be </w:t>
      </w:r>
      <w:r w:rsidR="00AB541D" w:rsidRPr="00EE5727">
        <w:rPr>
          <w:rFonts w:eastAsia="Calibri" w:cs="Arial"/>
        </w:rPr>
        <w:t>deferred which</w:t>
      </w:r>
      <w:r w:rsidR="001945A0" w:rsidRPr="00EE5727">
        <w:rPr>
          <w:rFonts w:eastAsia="Calibri" w:cs="Arial"/>
        </w:rPr>
        <w:t xml:space="preserve"> </w:t>
      </w:r>
      <w:r w:rsidR="00CB383F" w:rsidRPr="00EE5727">
        <w:rPr>
          <w:rFonts w:eastAsia="Calibri" w:cs="Arial"/>
        </w:rPr>
        <w:t xml:space="preserve">would </w:t>
      </w:r>
      <w:r w:rsidRPr="00EE5727">
        <w:rPr>
          <w:rFonts w:eastAsia="Calibri" w:cs="Arial"/>
        </w:rPr>
        <w:t>generate</w:t>
      </w:r>
      <w:r w:rsidR="00CB383F" w:rsidRPr="00EE5727">
        <w:rPr>
          <w:rFonts w:eastAsia="Calibri" w:cs="Arial"/>
        </w:rPr>
        <w:t xml:space="preserve"> an initial saving of £20m offset by the additional annual interest cost of approximately £</w:t>
      </w:r>
      <w:r w:rsidR="008F4FC5" w:rsidRPr="00EE5727">
        <w:rPr>
          <w:rFonts w:eastAsia="Calibri" w:cs="Arial"/>
        </w:rPr>
        <w:t>0.658</w:t>
      </w:r>
      <w:r w:rsidR="00CB383F" w:rsidRPr="00EE5727">
        <w:rPr>
          <w:rFonts w:eastAsia="Calibri" w:cs="Arial"/>
        </w:rPr>
        <w:t>m</w:t>
      </w:r>
      <w:r w:rsidR="001B4B87" w:rsidRPr="00EE5727">
        <w:rPr>
          <w:rFonts w:eastAsia="Calibri" w:cs="Arial"/>
        </w:rPr>
        <w:t xml:space="preserve">. The overall strategy is to repay debt when possible allowing for commitments to be financed whilst maintaining a minimum HRA working </w:t>
      </w:r>
      <w:proofErr w:type="gramStart"/>
      <w:r w:rsidR="001B4B87" w:rsidRPr="00EE5727">
        <w:rPr>
          <w:rFonts w:eastAsia="Calibri" w:cs="Arial"/>
        </w:rPr>
        <w:t>balance</w:t>
      </w:r>
      <w:proofErr w:type="gramEnd"/>
      <w:r w:rsidR="001B4B87" w:rsidRPr="00EE5727">
        <w:rPr>
          <w:rFonts w:eastAsia="Calibri" w:cs="Arial"/>
        </w:rPr>
        <w:t xml:space="preserve"> of £3.5 million</w:t>
      </w:r>
      <w:r w:rsidR="007F41B1">
        <w:rPr>
          <w:rFonts w:eastAsia="Calibri" w:cs="Arial"/>
        </w:rPr>
        <w:t>.</w:t>
      </w:r>
      <w:r w:rsidR="00A9088A">
        <w:rPr>
          <w:rFonts w:eastAsia="Calibri" w:cs="Arial"/>
        </w:rPr>
        <w:t xml:space="preserve"> Self- financing debt at the end of the 4 year planning period will stand at around £222 million.</w:t>
      </w:r>
    </w:p>
    <w:p w14:paraId="5E426EBC" w14:textId="2DE1E9E7" w:rsidR="002977AD" w:rsidRDefault="002977AD" w:rsidP="002977AD">
      <w:pPr>
        <w:pStyle w:val="ListParagraph"/>
        <w:numPr>
          <w:ilvl w:val="0"/>
          <w:numId w:val="7"/>
        </w:numPr>
        <w:spacing w:after="120"/>
        <w:ind w:left="851" w:hanging="284"/>
        <w:rPr>
          <w:rFonts w:eastAsia="Calibri" w:cs="Arial"/>
          <w:b/>
        </w:rPr>
      </w:pPr>
      <w:r w:rsidRPr="002977AD">
        <w:rPr>
          <w:rFonts w:eastAsia="Calibri" w:cs="Arial"/>
          <w:b/>
        </w:rPr>
        <w:t>High Value Council Housing Levy</w:t>
      </w:r>
    </w:p>
    <w:p w14:paraId="4ED719D6" w14:textId="33314A5F" w:rsidR="002977AD" w:rsidRDefault="002977AD" w:rsidP="002977AD">
      <w:pPr>
        <w:pStyle w:val="ListParagraph"/>
        <w:spacing w:after="120"/>
        <w:ind w:left="851"/>
        <w:rPr>
          <w:rFonts w:eastAsia="Calibri" w:cs="Arial"/>
        </w:rPr>
      </w:pPr>
      <w:r>
        <w:rPr>
          <w:rFonts w:eastAsia="Calibri" w:cs="Arial"/>
        </w:rPr>
        <w:t xml:space="preserve">Although the Government have confirmed this will not be implemented in 2017-18 there is still an assumption that this will be implemented from 2018-19 onwards. In line with previous assumptions the Council has provided for capital spend of around £7million on this issue in lieu of Council house disposals to fund. The amount of £4.7 million budgeted for in 2017-18 has at this stage been transferred to a reserve either for repayment of debt or to fund future payments of the levy when the position becomes clearer.  </w:t>
      </w:r>
    </w:p>
    <w:p w14:paraId="715BE7FF" w14:textId="77777777" w:rsidR="009172F5" w:rsidRPr="002977AD" w:rsidRDefault="009172F5" w:rsidP="002977AD">
      <w:pPr>
        <w:pStyle w:val="ListParagraph"/>
        <w:spacing w:after="120"/>
        <w:ind w:left="851"/>
        <w:rPr>
          <w:rFonts w:eastAsia="Calibri" w:cs="Arial"/>
        </w:rPr>
      </w:pPr>
    </w:p>
    <w:p w14:paraId="21758CCC" w14:textId="74B595F6" w:rsidR="00CB383F" w:rsidRPr="002B1918" w:rsidRDefault="00776FF8" w:rsidP="00CE3A3C">
      <w:pPr>
        <w:numPr>
          <w:ilvl w:val="0"/>
          <w:numId w:val="7"/>
        </w:numPr>
        <w:autoSpaceDE w:val="0"/>
        <w:autoSpaceDN w:val="0"/>
        <w:adjustRightInd w:val="0"/>
        <w:spacing w:after="120"/>
        <w:ind w:left="851" w:right="380" w:hanging="284"/>
        <w:rPr>
          <w:rFonts w:cs="Arial"/>
          <w:b/>
        </w:rPr>
      </w:pPr>
      <w:r w:rsidRPr="002B1918">
        <w:rPr>
          <w:rFonts w:cs="Arial"/>
          <w:b/>
        </w:rPr>
        <w:lastRenderedPageBreak/>
        <w:t>Right To Buy</w:t>
      </w:r>
      <w:r w:rsidR="00164388" w:rsidRPr="002B1918">
        <w:rPr>
          <w:rFonts w:cs="Arial"/>
          <w:b/>
        </w:rPr>
        <w:t xml:space="preserve"> and other disposals</w:t>
      </w:r>
    </w:p>
    <w:p w14:paraId="35A73212" w14:textId="7722AC7E" w:rsidR="001945A0" w:rsidRPr="00EE5727" w:rsidRDefault="00942056" w:rsidP="001945A0">
      <w:pPr>
        <w:autoSpaceDE w:val="0"/>
        <w:autoSpaceDN w:val="0"/>
        <w:adjustRightInd w:val="0"/>
        <w:spacing w:after="120"/>
        <w:ind w:left="851" w:right="380" w:hanging="284"/>
        <w:rPr>
          <w:rFonts w:cs="Arial"/>
        </w:rPr>
      </w:pPr>
      <w:r w:rsidRPr="00EE5727">
        <w:rPr>
          <w:rFonts w:cs="Arial"/>
        </w:rPr>
        <w:t xml:space="preserve">    </w:t>
      </w:r>
      <w:r w:rsidR="009062C9" w:rsidRPr="00EE5727">
        <w:rPr>
          <w:rFonts w:cs="Arial"/>
        </w:rPr>
        <w:t>D</w:t>
      </w:r>
      <w:r w:rsidR="00CB383F" w:rsidRPr="00EE5727">
        <w:rPr>
          <w:rFonts w:cs="Arial"/>
        </w:rPr>
        <w:t xml:space="preserve">isposals of around 40 dwellings per year until 2021/22 </w:t>
      </w:r>
      <w:r w:rsidR="009062C9" w:rsidRPr="00EE5727">
        <w:rPr>
          <w:rFonts w:cs="Arial"/>
        </w:rPr>
        <w:t xml:space="preserve">are assumed </w:t>
      </w:r>
      <w:r w:rsidR="00CB383F" w:rsidRPr="00EE5727">
        <w:rPr>
          <w:rFonts w:cs="Arial"/>
        </w:rPr>
        <w:t>due to the Government’s re-</w:t>
      </w:r>
      <w:r w:rsidR="00776FF8" w:rsidRPr="00EE5727">
        <w:rPr>
          <w:rFonts w:cs="Arial"/>
        </w:rPr>
        <w:t>i</w:t>
      </w:r>
      <w:r w:rsidR="00CB383F" w:rsidRPr="00EE5727">
        <w:rPr>
          <w:rFonts w:cs="Arial"/>
        </w:rPr>
        <w:t xml:space="preserve">nvigorating </w:t>
      </w:r>
      <w:r w:rsidR="00F9462B">
        <w:rPr>
          <w:rFonts w:cs="Arial"/>
        </w:rPr>
        <w:t xml:space="preserve">its </w:t>
      </w:r>
      <w:r w:rsidR="00CB383F" w:rsidRPr="00EE5727">
        <w:rPr>
          <w:rFonts w:cs="Arial"/>
        </w:rPr>
        <w:t xml:space="preserve">Right to </w:t>
      </w:r>
      <w:proofErr w:type="gramStart"/>
      <w:r w:rsidR="00CB383F" w:rsidRPr="00EE5727">
        <w:rPr>
          <w:rFonts w:cs="Arial"/>
        </w:rPr>
        <w:t>Buy</w:t>
      </w:r>
      <w:proofErr w:type="gramEnd"/>
      <w:r w:rsidR="00CB383F" w:rsidRPr="00EE5727">
        <w:rPr>
          <w:rFonts w:cs="Arial"/>
        </w:rPr>
        <w:t xml:space="preserve"> initiative</w:t>
      </w:r>
      <w:r w:rsidR="007B0493" w:rsidRPr="00EE5727">
        <w:rPr>
          <w:rFonts w:cs="Arial"/>
        </w:rPr>
        <w:t>.</w:t>
      </w:r>
      <w:r w:rsidR="001B4B87" w:rsidRPr="00EE5727">
        <w:rPr>
          <w:rFonts w:cs="Arial"/>
        </w:rPr>
        <w:t xml:space="preserve"> Additionally</w:t>
      </w:r>
      <w:r w:rsidR="00F9462B">
        <w:rPr>
          <w:rFonts w:cs="Arial"/>
        </w:rPr>
        <w:t>,</w:t>
      </w:r>
      <w:r w:rsidR="001B4B87" w:rsidRPr="00EE5727">
        <w:rPr>
          <w:rFonts w:cs="Arial"/>
        </w:rPr>
        <w:t xml:space="preserve"> the plan allows for 5 properties</w:t>
      </w:r>
      <w:r w:rsidR="00164388" w:rsidRPr="00EE5727">
        <w:rPr>
          <w:rFonts w:cs="Arial"/>
        </w:rPr>
        <w:t xml:space="preserve"> to be transferred to the Housing Company which the Council is able to do without Secretary of States approval under</w:t>
      </w:r>
      <w:r w:rsidR="003E43D7">
        <w:rPr>
          <w:rFonts w:cs="Arial"/>
        </w:rPr>
        <w:t xml:space="preserve"> Section 32 of the Housing Act 1985 (as amended) and set out in the DCLG’s General Housing Consents.</w:t>
      </w:r>
    </w:p>
    <w:p w14:paraId="6A38ACB6" w14:textId="64EF89CB" w:rsidR="00CB383F" w:rsidRPr="00EE5727" w:rsidRDefault="00714164" w:rsidP="00CE3A3C">
      <w:pPr>
        <w:numPr>
          <w:ilvl w:val="0"/>
          <w:numId w:val="7"/>
        </w:numPr>
        <w:autoSpaceDE w:val="0"/>
        <w:autoSpaceDN w:val="0"/>
        <w:adjustRightInd w:val="0"/>
        <w:spacing w:after="120"/>
        <w:ind w:left="851" w:right="380" w:hanging="284"/>
        <w:rPr>
          <w:rFonts w:cs="Arial"/>
          <w:b/>
        </w:rPr>
      </w:pPr>
      <w:r w:rsidRPr="00EE5727">
        <w:rPr>
          <w:rFonts w:cs="Arial"/>
          <w:b/>
        </w:rPr>
        <w:t xml:space="preserve"> </w:t>
      </w:r>
      <w:r w:rsidR="00CB383F" w:rsidRPr="00EE5727">
        <w:rPr>
          <w:rFonts w:cs="Arial"/>
          <w:b/>
        </w:rPr>
        <w:t>Inflation and pay assumptions</w:t>
      </w:r>
    </w:p>
    <w:p w14:paraId="1B46A999" w14:textId="77777777" w:rsidR="00CB383F" w:rsidRPr="00EE5727" w:rsidRDefault="00942056" w:rsidP="00942056">
      <w:pPr>
        <w:autoSpaceDE w:val="0"/>
        <w:autoSpaceDN w:val="0"/>
        <w:adjustRightInd w:val="0"/>
        <w:spacing w:after="120"/>
        <w:ind w:left="851" w:right="380" w:hanging="284"/>
        <w:jc w:val="both"/>
        <w:rPr>
          <w:rFonts w:cs="Arial"/>
        </w:rPr>
      </w:pPr>
      <w:r w:rsidRPr="00EE5727">
        <w:rPr>
          <w:rFonts w:cs="Arial"/>
        </w:rPr>
        <w:t xml:space="preserve">    </w:t>
      </w:r>
      <w:r w:rsidR="008149C8" w:rsidRPr="00EE5727">
        <w:rPr>
          <w:rFonts w:cs="Arial"/>
        </w:rPr>
        <w:t>A</w:t>
      </w:r>
      <w:r w:rsidR="00CB383F" w:rsidRPr="00EE5727">
        <w:rPr>
          <w:rFonts w:cs="Arial"/>
        </w:rPr>
        <w:t xml:space="preserve">ll the assumptions for </w:t>
      </w:r>
      <w:r w:rsidR="007B0493" w:rsidRPr="00EE5727">
        <w:rPr>
          <w:rFonts w:cs="Arial"/>
        </w:rPr>
        <w:t>i</w:t>
      </w:r>
      <w:r w:rsidR="00CB383F" w:rsidRPr="00EE5727">
        <w:rPr>
          <w:rFonts w:cs="Arial"/>
        </w:rPr>
        <w:t xml:space="preserve">nflation are the same as for </w:t>
      </w:r>
      <w:r w:rsidR="008149C8" w:rsidRPr="00EE5727">
        <w:rPr>
          <w:rFonts w:cs="Arial"/>
        </w:rPr>
        <w:t>t</w:t>
      </w:r>
      <w:r w:rsidR="00CB383F" w:rsidRPr="00EE5727">
        <w:rPr>
          <w:rFonts w:cs="Arial"/>
        </w:rPr>
        <w:t>he Council’s General Fund.</w:t>
      </w:r>
    </w:p>
    <w:p w14:paraId="00E50025" w14:textId="22DBE2AF" w:rsidR="002F4354" w:rsidRPr="00EE5727" w:rsidRDefault="002F4354" w:rsidP="00302C27">
      <w:pPr>
        <w:numPr>
          <w:ilvl w:val="0"/>
          <w:numId w:val="7"/>
        </w:numPr>
        <w:autoSpaceDE w:val="0"/>
        <w:autoSpaceDN w:val="0"/>
        <w:adjustRightInd w:val="0"/>
        <w:spacing w:after="120"/>
        <w:ind w:left="851" w:right="380" w:hanging="284"/>
        <w:jc w:val="both"/>
        <w:rPr>
          <w:rFonts w:cs="Arial"/>
          <w:b/>
        </w:rPr>
      </w:pPr>
      <w:r w:rsidRPr="00EE5727">
        <w:rPr>
          <w:rFonts w:cs="Arial"/>
          <w:b/>
        </w:rPr>
        <w:t>Service Charges</w:t>
      </w:r>
    </w:p>
    <w:p w14:paraId="6C432956" w14:textId="77777777" w:rsidR="00FB5DF3" w:rsidRPr="00EE5727" w:rsidRDefault="00942056" w:rsidP="00FB5DF3">
      <w:pPr>
        <w:autoSpaceDE w:val="0"/>
        <w:autoSpaceDN w:val="0"/>
        <w:adjustRightInd w:val="0"/>
        <w:spacing w:after="120"/>
        <w:ind w:left="851" w:right="380" w:hanging="284"/>
        <w:jc w:val="both"/>
        <w:rPr>
          <w:rFonts w:cs="Arial"/>
        </w:rPr>
      </w:pPr>
      <w:r w:rsidRPr="00EE5727">
        <w:rPr>
          <w:rFonts w:cs="Arial"/>
        </w:rPr>
        <w:t xml:space="preserve">    </w:t>
      </w:r>
      <w:r w:rsidR="002F4354" w:rsidRPr="00EE5727">
        <w:rPr>
          <w:rFonts w:cs="Arial"/>
        </w:rPr>
        <w:t xml:space="preserve">Service charges such as caretaking, cleaning, CCTV, communal areas etc. have been increased in line with the convergence formula in previous years. </w:t>
      </w:r>
      <w:r w:rsidR="00800175" w:rsidRPr="00EE5727">
        <w:rPr>
          <w:rFonts w:cs="Arial"/>
        </w:rPr>
        <w:t>The</w:t>
      </w:r>
      <w:r w:rsidR="002F4354" w:rsidRPr="00EE5727">
        <w:rPr>
          <w:rFonts w:cs="Arial"/>
        </w:rPr>
        <w:t xml:space="preserve"> Council agreed to remove any associated service charge limiter (credits) over a 4 year period limited to a maximum of £1/wk. It is estimated that this will deliver £</w:t>
      </w:r>
      <w:r w:rsidR="00800175" w:rsidRPr="00EE5727">
        <w:rPr>
          <w:rFonts w:cs="Arial"/>
        </w:rPr>
        <w:t>5</w:t>
      </w:r>
      <w:r w:rsidR="002F4354" w:rsidRPr="00EE5727">
        <w:rPr>
          <w:rFonts w:cs="Arial"/>
        </w:rPr>
        <w:t xml:space="preserve">0k of additional income </w:t>
      </w:r>
      <w:r w:rsidR="00800175" w:rsidRPr="00EE5727">
        <w:rPr>
          <w:rFonts w:cs="Arial"/>
        </w:rPr>
        <w:t>by</w:t>
      </w:r>
      <w:r w:rsidR="002F4354" w:rsidRPr="00EE5727">
        <w:rPr>
          <w:rFonts w:cs="Arial"/>
        </w:rPr>
        <w:t xml:space="preserve"> 201</w:t>
      </w:r>
      <w:r w:rsidR="00800175" w:rsidRPr="00EE5727">
        <w:rPr>
          <w:rFonts w:cs="Arial"/>
        </w:rPr>
        <w:t>7</w:t>
      </w:r>
      <w:r w:rsidR="002F4354" w:rsidRPr="00EE5727">
        <w:rPr>
          <w:rFonts w:cs="Arial"/>
        </w:rPr>
        <w:t>/1</w:t>
      </w:r>
      <w:r w:rsidR="00800175" w:rsidRPr="00EE5727">
        <w:rPr>
          <w:rFonts w:cs="Arial"/>
        </w:rPr>
        <w:t>8</w:t>
      </w:r>
      <w:r w:rsidR="00CC5F66" w:rsidRPr="00EE5727">
        <w:rPr>
          <w:rFonts w:cs="Arial"/>
        </w:rPr>
        <w:t xml:space="preserve"> </w:t>
      </w:r>
      <w:r w:rsidR="00800175" w:rsidRPr="00EE5727">
        <w:rPr>
          <w:rFonts w:cs="Arial"/>
        </w:rPr>
        <w:t xml:space="preserve">at </w:t>
      </w:r>
      <w:r w:rsidR="002F4354" w:rsidRPr="00EE5727">
        <w:rPr>
          <w:rFonts w:cs="Arial"/>
        </w:rPr>
        <w:t>which time the limiter w</w:t>
      </w:r>
      <w:r w:rsidR="009062C9" w:rsidRPr="00EE5727">
        <w:rPr>
          <w:rFonts w:cs="Arial"/>
        </w:rPr>
        <w:t>ill</w:t>
      </w:r>
      <w:r w:rsidR="002F4354" w:rsidRPr="00EE5727">
        <w:rPr>
          <w:rFonts w:cs="Arial"/>
        </w:rPr>
        <w:t xml:space="preserve"> have been removed from all associated accounts.</w:t>
      </w:r>
      <w:r w:rsidR="00164388" w:rsidRPr="00EE5727">
        <w:rPr>
          <w:rFonts w:cs="Arial"/>
        </w:rPr>
        <w:t xml:space="preserve"> A review of </w:t>
      </w:r>
      <w:r w:rsidR="00C92C17">
        <w:rPr>
          <w:rFonts w:cs="Arial"/>
        </w:rPr>
        <w:t xml:space="preserve">the </w:t>
      </w:r>
      <w:r w:rsidR="00164388" w:rsidRPr="00EE5727">
        <w:rPr>
          <w:rFonts w:cs="Arial"/>
        </w:rPr>
        <w:t>service charge</w:t>
      </w:r>
      <w:r w:rsidR="00C92C17">
        <w:rPr>
          <w:rFonts w:cs="Arial"/>
        </w:rPr>
        <w:t xml:space="preserve"> </w:t>
      </w:r>
      <w:r w:rsidR="00C92C17" w:rsidRPr="00C92C17">
        <w:rPr>
          <w:rFonts w:cs="Arial"/>
        </w:rPr>
        <w:t xml:space="preserve">budgeted income suggests that </w:t>
      </w:r>
      <w:r w:rsidR="00164388" w:rsidRPr="00C92C17">
        <w:rPr>
          <w:rFonts w:cs="Arial"/>
        </w:rPr>
        <w:t xml:space="preserve">the base budget can be increased by around £300k </w:t>
      </w:r>
      <w:r w:rsidR="00C92C17" w:rsidRPr="00C92C17">
        <w:rPr>
          <w:rFonts w:cs="Arial"/>
        </w:rPr>
        <w:t>per annum and this has</w:t>
      </w:r>
      <w:r w:rsidR="00C92C17">
        <w:rPr>
          <w:rFonts w:cs="Arial"/>
        </w:rPr>
        <w:t xml:space="preserve"> been reflected in the revised budget.</w:t>
      </w:r>
      <w:r w:rsidR="002F4354" w:rsidRPr="00EE5727">
        <w:rPr>
          <w:rFonts w:cs="Arial"/>
        </w:rPr>
        <w:t xml:space="preserve"> </w:t>
      </w:r>
    </w:p>
    <w:p w14:paraId="6795B44A" w14:textId="52649BFA" w:rsidR="00CB383F" w:rsidRPr="00EE5727" w:rsidRDefault="00CB383F" w:rsidP="00302C27">
      <w:pPr>
        <w:numPr>
          <w:ilvl w:val="0"/>
          <w:numId w:val="7"/>
        </w:numPr>
        <w:autoSpaceDE w:val="0"/>
        <w:autoSpaceDN w:val="0"/>
        <w:adjustRightInd w:val="0"/>
        <w:spacing w:after="120"/>
        <w:ind w:left="851" w:right="380" w:hanging="284"/>
        <w:jc w:val="both"/>
        <w:rPr>
          <w:rFonts w:cs="Arial"/>
          <w:b/>
        </w:rPr>
      </w:pPr>
      <w:r w:rsidRPr="00EE5727">
        <w:rPr>
          <w:rFonts w:cs="Arial"/>
          <w:b/>
        </w:rPr>
        <w:t>Working Balance</w:t>
      </w:r>
    </w:p>
    <w:p w14:paraId="75325D69" w14:textId="77777777" w:rsidR="00CB383F" w:rsidRPr="00EE5727" w:rsidRDefault="00942056" w:rsidP="00942056">
      <w:pPr>
        <w:autoSpaceDE w:val="0"/>
        <w:autoSpaceDN w:val="0"/>
        <w:adjustRightInd w:val="0"/>
        <w:spacing w:after="120"/>
        <w:ind w:left="851" w:right="380" w:hanging="284"/>
        <w:jc w:val="both"/>
        <w:rPr>
          <w:rFonts w:cs="Arial"/>
        </w:rPr>
      </w:pPr>
      <w:r w:rsidRPr="00EE5727">
        <w:rPr>
          <w:rFonts w:cs="Arial"/>
        </w:rPr>
        <w:t xml:space="preserve">    </w:t>
      </w:r>
      <w:r w:rsidR="00CB383F" w:rsidRPr="00EE5727">
        <w:rPr>
          <w:rFonts w:cs="Arial"/>
        </w:rPr>
        <w:t>The working balance levels allow sufficient monies for the funding of future years</w:t>
      </w:r>
      <w:r w:rsidR="007B0493" w:rsidRPr="00EE5727">
        <w:rPr>
          <w:rFonts w:cs="Arial"/>
        </w:rPr>
        <w:t>’</w:t>
      </w:r>
      <w:r w:rsidR="00CB383F" w:rsidRPr="00EE5727">
        <w:rPr>
          <w:rFonts w:cs="Arial"/>
        </w:rPr>
        <w:t xml:space="preserve"> Capital Programme</w:t>
      </w:r>
      <w:r w:rsidR="007B0493" w:rsidRPr="00EE5727">
        <w:rPr>
          <w:rFonts w:cs="Arial"/>
        </w:rPr>
        <w:t>,</w:t>
      </w:r>
      <w:r w:rsidR="00CB383F" w:rsidRPr="00EE5727">
        <w:rPr>
          <w:rFonts w:cs="Arial"/>
        </w:rPr>
        <w:t xml:space="preserve"> the repayment of the debt</w:t>
      </w:r>
      <w:r w:rsidR="007B0493" w:rsidRPr="00EE5727">
        <w:rPr>
          <w:rFonts w:cs="Arial"/>
        </w:rPr>
        <w:t>,</w:t>
      </w:r>
      <w:r w:rsidR="008149C8" w:rsidRPr="00EE5727">
        <w:rPr>
          <w:rFonts w:cs="Arial"/>
        </w:rPr>
        <w:t xml:space="preserve"> as well as a</w:t>
      </w:r>
      <w:r w:rsidR="00CB383F" w:rsidRPr="00EE5727">
        <w:rPr>
          <w:rFonts w:cs="Arial"/>
        </w:rPr>
        <w:t xml:space="preserve">n amount of £3.5 million as being the minimum required to cover unexpected events such as falling investment income or increased costs. </w:t>
      </w:r>
      <w:r w:rsidR="00C37801" w:rsidRPr="00EE5727">
        <w:rPr>
          <w:rFonts w:cs="Arial"/>
        </w:rPr>
        <w:t>This is in addition to surplus HRA borrowing headroom of around £</w:t>
      </w:r>
      <w:r w:rsidR="00C92C17">
        <w:rPr>
          <w:rFonts w:cs="Arial"/>
        </w:rPr>
        <w:t>4</w:t>
      </w:r>
      <w:r w:rsidR="00C37801" w:rsidRPr="00EE5727">
        <w:rPr>
          <w:rFonts w:cs="Arial"/>
        </w:rPr>
        <w:t>2 million.</w:t>
      </w:r>
    </w:p>
    <w:p w14:paraId="28367FE1" w14:textId="77777777" w:rsidR="00CB383F" w:rsidRPr="003C426F" w:rsidRDefault="00CB383F" w:rsidP="00CB383F">
      <w:pPr>
        <w:autoSpaceDE w:val="0"/>
        <w:autoSpaceDN w:val="0"/>
        <w:adjustRightInd w:val="0"/>
        <w:jc w:val="both"/>
        <w:rPr>
          <w:rFonts w:cs="Arial"/>
          <w:b/>
        </w:rPr>
      </w:pPr>
    </w:p>
    <w:p w14:paraId="4DD4A298" w14:textId="77777777" w:rsidR="00CB383F" w:rsidRPr="003C426F" w:rsidRDefault="00FD577D" w:rsidP="00942056">
      <w:pPr>
        <w:ind w:left="567"/>
        <w:contextualSpacing/>
        <w:rPr>
          <w:rFonts w:eastAsia="Calibri" w:cs="Arial"/>
          <w:b/>
        </w:rPr>
      </w:pPr>
      <w:r w:rsidRPr="003C426F">
        <w:rPr>
          <w:rFonts w:eastAsia="Calibri" w:cs="Arial"/>
          <w:b/>
        </w:rPr>
        <w:t>On-going</w:t>
      </w:r>
      <w:r w:rsidR="00CB383F" w:rsidRPr="003C426F">
        <w:rPr>
          <w:rFonts w:eastAsia="Calibri" w:cs="Arial"/>
          <w:b/>
        </w:rPr>
        <w:t xml:space="preserve"> </w:t>
      </w:r>
      <w:r w:rsidR="005A10FC" w:rsidRPr="003C426F">
        <w:rPr>
          <w:rFonts w:eastAsia="Calibri" w:cs="Arial"/>
          <w:b/>
        </w:rPr>
        <w:t>Pressures, fees and charge variations and new investment</w:t>
      </w:r>
      <w:r w:rsidR="00CB383F" w:rsidRPr="003C426F">
        <w:rPr>
          <w:rFonts w:eastAsia="Calibri" w:cs="Arial"/>
          <w:b/>
        </w:rPr>
        <w:t xml:space="preserve"> Proposals</w:t>
      </w:r>
    </w:p>
    <w:p w14:paraId="716E8279" w14:textId="77777777" w:rsidR="00CB383F" w:rsidRPr="003C426F" w:rsidRDefault="00CB383F" w:rsidP="00F918BD">
      <w:pPr>
        <w:ind w:left="709" w:firstLine="11"/>
        <w:rPr>
          <w:rFonts w:eastAsia="Calibri" w:cs="Arial"/>
        </w:rPr>
      </w:pPr>
    </w:p>
    <w:p w14:paraId="37905352" w14:textId="5C955912" w:rsidR="00CB383F" w:rsidRPr="003C426F" w:rsidRDefault="00BD0932" w:rsidP="00942056">
      <w:pPr>
        <w:ind w:left="567" w:hanging="567"/>
        <w:contextualSpacing/>
        <w:rPr>
          <w:rFonts w:eastAsia="Calibri" w:cs="Arial"/>
        </w:rPr>
      </w:pPr>
      <w:r>
        <w:rPr>
          <w:rFonts w:eastAsia="Calibri" w:cs="Arial"/>
        </w:rPr>
        <w:t>39</w:t>
      </w:r>
      <w:r w:rsidR="002507A0" w:rsidRPr="003C426F">
        <w:rPr>
          <w:rFonts w:eastAsia="Calibri" w:cs="Arial"/>
        </w:rPr>
        <w:tab/>
      </w:r>
      <w:r w:rsidR="007E18CF" w:rsidRPr="003C426F">
        <w:rPr>
          <w:rFonts w:eastAsia="Calibri" w:cs="Arial"/>
        </w:rPr>
        <w:t xml:space="preserve">Increased HRA revenue </w:t>
      </w:r>
      <w:proofErr w:type="gramStart"/>
      <w:r w:rsidR="007F41B1" w:rsidRPr="003C426F">
        <w:rPr>
          <w:rFonts w:eastAsia="Calibri" w:cs="Arial"/>
        </w:rPr>
        <w:t>spend</w:t>
      </w:r>
      <w:proofErr w:type="gramEnd"/>
      <w:r w:rsidR="007F41B1" w:rsidRPr="003C426F">
        <w:rPr>
          <w:rFonts w:eastAsia="Calibri" w:cs="Arial"/>
        </w:rPr>
        <w:t xml:space="preserve"> is</w:t>
      </w:r>
      <w:r w:rsidR="00CB383F" w:rsidRPr="003C426F">
        <w:rPr>
          <w:rFonts w:eastAsia="Calibri" w:cs="Arial"/>
        </w:rPr>
        <w:t xml:space="preserve"> shown in Appendix </w:t>
      </w:r>
      <w:r w:rsidR="0024028E">
        <w:rPr>
          <w:rFonts w:eastAsia="Calibri" w:cs="Arial"/>
        </w:rPr>
        <w:t>3</w:t>
      </w:r>
      <w:r w:rsidR="005A10FC" w:rsidRPr="003C426F">
        <w:rPr>
          <w:rFonts w:eastAsia="Calibri" w:cs="Arial"/>
        </w:rPr>
        <w:t xml:space="preserve"> </w:t>
      </w:r>
      <w:r w:rsidR="00E765D1" w:rsidRPr="003C426F">
        <w:rPr>
          <w:rFonts w:eastAsia="Calibri" w:cs="Arial"/>
        </w:rPr>
        <w:t>with the</w:t>
      </w:r>
      <w:r w:rsidR="001C5D62" w:rsidRPr="003C426F">
        <w:rPr>
          <w:rFonts w:eastAsia="Calibri" w:cs="Arial"/>
        </w:rPr>
        <w:t xml:space="preserve"> more significant being as follows</w:t>
      </w:r>
      <w:r w:rsidR="005A10FC" w:rsidRPr="003C426F">
        <w:rPr>
          <w:rFonts w:eastAsia="Calibri" w:cs="Arial"/>
        </w:rPr>
        <w:t>:</w:t>
      </w:r>
    </w:p>
    <w:p w14:paraId="36D931E7" w14:textId="77777777" w:rsidR="001945A0" w:rsidRPr="003C426F" w:rsidRDefault="001945A0" w:rsidP="001945A0">
      <w:pPr>
        <w:rPr>
          <w:rFonts w:eastAsia="Calibri" w:cs="Arial"/>
        </w:rPr>
      </w:pPr>
    </w:p>
    <w:p w14:paraId="455C3ED6" w14:textId="77777777" w:rsidR="00C92C17" w:rsidRPr="004518E1" w:rsidRDefault="00C92C17" w:rsidP="00C92C17">
      <w:pPr>
        <w:numPr>
          <w:ilvl w:val="0"/>
          <w:numId w:val="7"/>
        </w:numPr>
        <w:rPr>
          <w:rFonts w:eastAsia="Calibri"/>
        </w:rPr>
      </w:pPr>
      <w:r w:rsidRPr="004518E1">
        <w:rPr>
          <w:rFonts w:eastAsia="Calibri"/>
          <w:b/>
        </w:rPr>
        <w:t>Energy Officer</w:t>
      </w:r>
      <w:r w:rsidRPr="004518E1">
        <w:rPr>
          <w:rFonts w:eastAsia="Calibri"/>
        </w:rPr>
        <w:t xml:space="preserve"> – one off £25k </w:t>
      </w:r>
      <w:r>
        <w:rPr>
          <w:rFonts w:eastAsia="Calibri"/>
        </w:rPr>
        <w:t>to fund the post until March 2018. This is reversed in 2018/19.</w:t>
      </w:r>
    </w:p>
    <w:p w14:paraId="7EE3825D" w14:textId="44279E93" w:rsidR="00C92C17" w:rsidRPr="004518E1" w:rsidRDefault="00C92C17" w:rsidP="00C92C17">
      <w:pPr>
        <w:numPr>
          <w:ilvl w:val="0"/>
          <w:numId w:val="7"/>
        </w:numPr>
        <w:rPr>
          <w:rFonts w:eastAsia="Calibri"/>
        </w:rPr>
      </w:pPr>
      <w:r w:rsidRPr="004518E1">
        <w:rPr>
          <w:rFonts w:eastAsia="Calibri"/>
          <w:b/>
        </w:rPr>
        <w:t>Flexible Tenancies</w:t>
      </w:r>
      <w:r w:rsidRPr="004518E1">
        <w:rPr>
          <w:rFonts w:eastAsia="Calibri"/>
        </w:rPr>
        <w:t xml:space="preserve"> – one off £18k</w:t>
      </w:r>
      <w:r>
        <w:rPr>
          <w:rFonts w:eastAsia="Calibri"/>
        </w:rPr>
        <w:t xml:space="preserve"> related to the production of additional literature and publications informing tenants of this new</w:t>
      </w:r>
      <w:r w:rsidR="007803C4">
        <w:rPr>
          <w:rFonts w:eastAsia="Calibri"/>
        </w:rPr>
        <w:t xml:space="preserve"> government</w:t>
      </w:r>
      <w:r>
        <w:rPr>
          <w:rFonts w:eastAsia="Calibri"/>
        </w:rPr>
        <w:t xml:space="preserve"> policy, together with undertaking any associated consultations. </w:t>
      </w:r>
    </w:p>
    <w:p w14:paraId="790D15D4" w14:textId="77777777" w:rsidR="00C92C17" w:rsidRPr="004518E1" w:rsidRDefault="00C92C17" w:rsidP="00C92C17">
      <w:pPr>
        <w:numPr>
          <w:ilvl w:val="0"/>
          <w:numId w:val="7"/>
        </w:numPr>
        <w:rPr>
          <w:rFonts w:eastAsia="Calibri"/>
        </w:rPr>
      </w:pPr>
      <w:r w:rsidRPr="004518E1">
        <w:rPr>
          <w:rFonts w:eastAsia="Calibri"/>
          <w:b/>
        </w:rPr>
        <w:t xml:space="preserve">Decants - </w:t>
      </w:r>
      <w:r w:rsidRPr="004518E1">
        <w:rPr>
          <w:rFonts w:eastAsia="Calibri"/>
        </w:rPr>
        <w:t>one off £70k then £30k on-going</w:t>
      </w:r>
      <w:r>
        <w:rPr>
          <w:rFonts w:eastAsia="Calibri"/>
        </w:rPr>
        <w:t xml:space="preserve"> thereafter. This estimate is associated with the Tower Blocks project </w:t>
      </w:r>
    </w:p>
    <w:p w14:paraId="060B6386" w14:textId="77777777" w:rsidR="00C92C17" w:rsidRPr="004518E1" w:rsidRDefault="00C92C17" w:rsidP="00C92C17">
      <w:pPr>
        <w:numPr>
          <w:ilvl w:val="0"/>
          <w:numId w:val="7"/>
        </w:numPr>
        <w:rPr>
          <w:rFonts w:eastAsia="Calibri"/>
        </w:rPr>
      </w:pPr>
      <w:r w:rsidRPr="004518E1">
        <w:rPr>
          <w:rFonts w:eastAsia="Calibri"/>
          <w:b/>
        </w:rPr>
        <w:t>Electrical upgrades</w:t>
      </w:r>
      <w:r w:rsidRPr="004518E1">
        <w:rPr>
          <w:rFonts w:eastAsia="Calibri"/>
        </w:rPr>
        <w:t xml:space="preserve"> two years of £300k</w:t>
      </w:r>
      <w:r>
        <w:rPr>
          <w:rFonts w:eastAsia="Calibri"/>
        </w:rPr>
        <w:t xml:space="preserve"> to introduce an accelerated programme of works to ensure the Council’s properties are compliant with enhanced statutory requirements.</w:t>
      </w:r>
    </w:p>
    <w:p w14:paraId="7DF5C8BE" w14:textId="77777777" w:rsidR="00C92C17" w:rsidRPr="004518E1" w:rsidRDefault="00C92C17" w:rsidP="00C92C17">
      <w:pPr>
        <w:numPr>
          <w:ilvl w:val="0"/>
          <w:numId w:val="7"/>
        </w:numPr>
        <w:rPr>
          <w:rFonts w:eastAsia="Calibri"/>
        </w:rPr>
      </w:pPr>
      <w:r w:rsidRPr="004518E1">
        <w:rPr>
          <w:rFonts w:eastAsia="Calibri"/>
          <w:b/>
        </w:rPr>
        <w:t>Decants and home</w:t>
      </w:r>
      <w:r>
        <w:rPr>
          <w:rFonts w:eastAsia="Calibri"/>
          <w:b/>
        </w:rPr>
        <w:t xml:space="preserve"> </w:t>
      </w:r>
      <w:r w:rsidRPr="004518E1">
        <w:rPr>
          <w:rFonts w:eastAsia="Calibri"/>
          <w:b/>
        </w:rPr>
        <w:t>loss</w:t>
      </w:r>
      <w:r w:rsidRPr="004518E1">
        <w:rPr>
          <w:rFonts w:eastAsia="Calibri"/>
        </w:rPr>
        <w:t xml:space="preserve"> payments</w:t>
      </w:r>
      <w:r>
        <w:rPr>
          <w:rFonts w:eastAsia="Calibri"/>
        </w:rPr>
        <w:t>, together with disturbance allowance payments</w:t>
      </w:r>
      <w:r w:rsidRPr="004518E1">
        <w:rPr>
          <w:rFonts w:eastAsia="Calibri"/>
        </w:rPr>
        <w:t xml:space="preserve"> re Underhill circus </w:t>
      </w:r>
      <w:r>
        <w:rPr>
          <w:rFonts w:eastAsia="Calibri"/>
        </w:rPr>
        <w:t xml:space="preserve">estimated at </w:t>
      </w:r>
      <w:r w:rsidRPr="004518E1">
        <w:rPr>
          <w:rFonts w:eastAsia="Calibri"/>
        </w:rPr>
        <w:t>£45k per annum</w:t>
      </w:r>
    </w:p>
    <w:p w14:paraId="592322A6" w14:textId="556744B0" w:rsidR="00C92C17" w:rsidRPr="00496A88" w:rsidRDefault="00C92C17" w:rsidP="00C92C17">
      <w:pPr>
        <w:numPr>
          <w:ilvl w:val="0"/>
          <w:numId w:val="7"/>
        </w:numPr>
        <w:rPr>
          <w:rFonts w:eastAsia="Calibri"/>
        </w:rPr>
      </w:pPr>
      <w:r w:rsidRPr="00496A88">
        <w:rPr>
          <w:rFonts w:eastAsia="Calibri"/>
          <w:b/>
        </w:rPr>
        <w:t xml:space="preserve">Regeneration at </w:t>
      </w:r>
      <w:r w:rsidR="00BD0932">
        <w:rPr>
          <w:rFonts w:eastAsia="Calibri"/>
          <w:b/>
        </w:rPr>
        <w:t>Blackbird Leys</w:t>
      </w:r>
      <w:r w:rsidRPr="00496A88">
        <w:rPr>
          <w:rFonts w:eastAsia="Calibri"/>
        </w:rPr>
        <w:t xml:space="preserve"> - £100k per annum. </w:t>
      </w:r>
      <w:r w:rsidR="00BD0932">
        <w:rPr>
          <w:rFonts w:eastAsia="Calibri"/>
        </w:rPr>
        <w:t>Currently maintaining void properties in property that require security, together with associated demolition costs prior to redevelopment.</w:t>
      </w:r>
    </w:p>
    <w:p w14:paraId="33F51D70" w14:textId="7B9431F9" w:rsidR="00C92C17" w:rsidRPr="004518E1" w:rsidRDefault="00C92C17" w:rsidP="00C92C17">
      <w:pPr>
        <w:numPr>
          <w:ilvl w:val="0"/>
          <w:numId w:val="7"/>
        </w:numPr>
        <w:rPr>
          <w:rFonts w:eastAsia="Calibri"/>
        </w:rPr>
      </w:pPr>
      <w:r w:rsidRPr="004518E1">
        <w:rPr>
          <w:rFonts w:eastAsia="Calibri"/>
          <w:b/>
        </w:rPr>
        <w:lastRenderedPageBreak/>
        <w:t>Cleaning of communal areas</w:t>
      </w:r>
      <w:r w:rsidRPr="004518E1">
        <w:rPr>
          <w:rFonts w:eastAsia="Calibri"/>
        </w:rPr>
        <w:t xml:space="preserve"> -£77k for two years to provide for a van and 2 </w:t>
      </w:r>
      <w:r w:rsidR="007803C4">
        <w:rPr>
          <w:rFonts w:eastAsia="Calibri"/>
        </w:rPr>
        <w:t>FTE</w:t>
      </w:r>
      <w:r w:rsidR="007803C4" w:rsidRPr="004518E1">
        <w:rPr>
          <w:rFonts w:eastAsia="Calibri"/>
        </w:rPr>
        <w:t xml:space="preserve"> </w:t>
      </w:r>
      <w:r w:rsidRPr="004518E1">
        <w:rPr>
          <w:rFonts w:eastAsia="Calibri"/>
        </w:rPr>
        <w:t>employees to undertake cleaning of communal areas across the estates</w:t>
      </w:r>
      <w:r>
        <w:rPr>
          <w:rFonts w:eastAsia="Calibri"/>
        </w:rPr>
        <w:t xml:space="preserve">. </w:t>
      </w:r>
    </w:p>
    <w:p w14:paraId="5D771113" w14:textId="77777777" w:rsidR="00C92C17" w:rsidRPr="004518E1" w:rsidRDefault="00C92C17" w:rsidP="00C92C17">
      <w:pPr>
        <w:numPr>
          <w:ilvl w:val="0"/>
          <w:numId w:val="7"/>
        </w:numPr>
        <w:tabs>
          <w:tab w:val="left" w:pos="2127"/>
        </w:tabs>
        <w:rPr>
          <w:rFonts w:eastAsia="Calibri"/>
        </w:rPr>
      </w:pPr>
      <w:r w:rsidRPr="004518E1">
        <w:rPr>
          <w:rFonts w:eastAsia="Calibri"/>
          <w:b/>
        </w:rPr>
        <w:t>ICT Northgate replacement</w:t>
      </w:r>
      <w:r w:rsidRPr="004518E1">
        <w:rPr>
          <w:rFonts w:eastAsia="Calibri"/>
        </w:rPr>
        <w:t xml:space="preserve"> – £180k for two years to provide for </w:t>
      </w:r>
      <w:r>
        <w:rPr>
          <w:rFonts w:eastAsia="Calibri"/>
        </w:rPr>
        <w:t xml:space="preserve">backfill arrangements for </w:t>
      </w:r>
      <w:r w:rsidRPr="004518E1">
        <w:rPr>
          <w:rFonts w:eastAsia="Calibri"/>
        </w:rPr>
        <w:t xml:space="preserve">3 </w:t>
      </w:r>
      <w:proofErr w:type="spellStart"/>
      <w:r w:rsidRPr="004518E1">
        <w:rPr>
          <w:rFonts w:eastAsia="Calibri"/>
        </w:rPr>
        <w:t>fte</w:t>
      </w:r>
      <w:proofErr w:type="spellEnd"/>
      <w:r w:rsidRPr="004518E1">
        <w:rPr>
          <w:rFonts w:eastAsia="Calibri"/>
        </w:rPr>
        <w:t xml:space="preserve"> staff and project management </w:t>
      </w:r>
      <w:r>
        <w:rPr>
          <w:rFonts w:eastAsia="Calibri"/>
        </w:rPr>
        <w:t>transferred to assist</w:t>
      </w:r>
      <w:r w:rsidRPr="004518E1">
        <w:rPr>
          <w:rFonts w:eastAsia="Calibri"/>
        </w:rPr>
        <w:t xml:space="preserve"> the review of the Northgate System</w:t>
      </w:r>
      <w:r>
        <w:rPr>
          <w:rFonts w:eastAsia="Calibri"/>
        </w:rPr>
        <w:t>.</w:t>
      </w:r>
    </w:p>
    <w:p w14:paraId="3BD6F95E" w14:textId="77777777" w:rsidR="00DE3FBB" w:rsidRPr="001E1E2E" w:rsidRDefault="007F41B1" w:rsidP="0072037F">
      <w:pPr>
        <w:ind w:left="567"/>
        <w:rPr>
          <w:rFonts w:eastAsia="Calibri" w:cs="Arial"/>
          <w:b/>
        </w:rPr>
      </w:pPr>
      <w:r w:rsidRPr="001E1E2E">
        <w:rPr>
          <w:rFonts w:eastAsia="Calibri" w:cs="Arial"/>
          <w:b/>
        </w:rPr>
        <w:t>Efficiencies</w:t>
      </w:r>
    </w:p>
    <w:p w14:paraId="41296177" w14:textId="1A390FA3" w:rsidR="006A5A42" w:rsidRPr="003C426F" w:rsidRDefault="009E1C3C" w:rsidP="0010427B">
      <w:pPr>
        <w:ind w:left="567" w:hanging="567"/>
        <w:rPr>
          <w:rFonts w:eastAsia="Calibri" w:cs="Arial"/>
        </w:rPr>
      </w:pPr>
      <w:r>
        <w:rPr>
          <w:rFonts w:eastAsia="Calibri" w:cs="Arial"/>
        </w:rPr>
        <w:t>4</w:t>
      </w:r>
      <w:r w:rsidR="00BD0932">
        <w:rPr>
          <w:rFonts w:eastAsia="Calibri" w:cs="Arial"/>
        </w:rPr>
        <w:t>0</w:t>
      </w:r>
      <w:r w:rsidR="0010427B">
        <w:rPr>
          <w:rFonts w:eastAsia="Calibri" w:cs="Arial"/>
        </w:rPr>
        <w:tab/>
      </w:r>
      <w:r w:rsidR="002B1918">
        <w:rPr>
          <w:rFonts w:eastAsia="Calibri" w:cs="Arial"/>
        </w:rPr>
        <w:t>E</w:t>
      </w:r>
      <w:r w:rsidR="007F41B1" w:rsidRPr="003C426F">
        <w:rPr>
          <w:rFonts w:eastAsia="Calibri" w:cs="Arial"/>
        </w:rPr>
        <w:t>ffi</w:t>
      </w:r>
      <w:r w:rsidR="007F41B1">
        <w:rPr>
          <w:rFonts w:eastAsia="Calibri" w:cs="Arial"/>
        </w:rPr>
        <w:t>ci</w:t>
      </w:r>
      <w:r w:rsidR="007F41B1" w:rsidRPr="003C426F">
        <w:rPr>
          <w:rFonts w:eastAsia="Calibri" w:cs="Arial"/>
        </w:rPr>
        <w:t>e</w:t>
      </w:r>
      <w:r w:rsidR="007F41B1">
        <w:rPr>
          <w:rFonts w:eastAsia="Calibri" w:cs="Arial"/>
        </w:rPr>
        <w:t>nc</w:t>
      </w:r>
      <w:r w:rsidR="007F41B1" w:rsidRPr="003C426F">
        <w:rPr>
          <w:rFonts w:eastAsia="Calibri" w:cs="Arial"/>
        </w:rPr>
        <w:t>ies</w:t>
      </w:r>
      <w:r w:rsidR="006A5A42" w:rsidRPr="003C426F">
        <w:rPr>
          <w:rFonts w:eastAsia="Calibri" w:cs="Arial"/>
        </w:rPr>
        <w:t xml:space="preserve"> have been included in the HRA business plan of £57k in 2019-20 followed by a further £60k in 2020/21 and it is </w:t>
      </w:r>
      <w:r w:rsidR="007F41B1" w:rsidRPr="003C426F">
        <w:rPr>
          <w:rFonts w:eastAsia="Calibri" w:cs="Arial"/>
        </w:rPr>
        <w:t>intended</w:t>
      </w:r>
      <w:r w:rsidR="006A5A42" w:rsidRPr="003C426F">
        <w:rPr>
          <w:rFonts w:eastAsia="Calibri" w:cs="Arial"/>
        </w:rPr>
        <w:t xml:space="preserve"> that this will achieved </w:t>
      </w:r>
      <w:proofErr w:type="gramStart"/>
      <w:r w:rsidR="006A5A42" w:rsidRPr="003C426F">
        <w:rPr>
          <w:rFonts w:eastAsia="Calibri" w:cs="Arial"/>
        </w:rPr>
        <w:t>by :</w:t>
      </w:r>
      <w:proofErr w:type="gramEnd"/>
    </w:p>
    <w:p w14:paraId="6B8CF5A8" w14:textId="77777777" w:rsidR="006A5A42" w:rsidRDefault="006A5A42" w:rsidP="0072037F">
      <w:pPr>
        <w:ind w:left="567"/>
        <w:rPr>
          <w:rFonts w:eastAsia="Calibri" w:cs="Arial"/>
          <w:highlight w:val="yellow"/>
        </w:rPr>
      </w:pPr>
    </w:p>
    <w:p w14:paraId="19B92FA9" w14:textId="0F538C01" w:rsidR="006A5A42" w:rsidRPr="00A976ED" w:rsidRDefault="006A5A42" w:rsidP="006A5A42">
      <w:pPr>
        <w:pStyle w:val="ListParagraph"/>
        <w:numPr>
          <w:ilvl w:val="0"/>
          <w:numId w:val="31"/>
        </w:numPr>
        <w:contextualSpacing/>
      </w:pPr>
      <w:r>
        <w:t xml:space="preserve">Improved voids turnaround resulting in reduced rent loss. Estimated to be one extra week’s rent charged on the total number of voids per annum </w:t>
      </w:r>
      <w:r w:rsidRPr="00A976ED">
        <w:t xml:space="preserve">because of a faster turnaround </w:t>
      </w:r>
      <w:r w:rsidR="00B60AEC">
        <w:t>-</w:t>
      </w:r>
      <w:r w:rsidRPr="00A976ED">
        <w:t xml:space="preserve"> £32k increased rent</w:t>
      </w:r>
      <w:r>
        <w:t>.</w:t>
      </w:r>
    </w:p>
    <w:p w14:paraId="70662329" w14:textId="77777777" w:rsidR="006A5A42" w:rsidRPr="00A976ED" w:rsidRDefault="006A5A42" w:rsidP="006A5A42">
      <w:pPr>
        <w:pStyle w:val="CommentText"/>
        <w:numPr>
          <w:ilvl w:val="0"/>
          <w:numId w:val="31"/>
        </w:numPr>
        <w:rPr>
          <w:sz w:val="24"/>
          <w:szCs w:val="24"/>
        </w:rPr>
      </w:pPr>
      <w:r w:rsidRPr="00A976ED">
        <w:rPr>
          <w:sz w:val="24"/>
          <w:szCs w:val="24"/>
        </w:rPr>
        <w:t>Moving some responsive repairs to a planned programme e.g. fencing. This is estimated to deliver £49k savings</w:t>
      </w:r>
      <w:r>
        <w:rPr>
          <w:sz w:val="24"/>
          <w:szCs w:val="24"/>
        </w:rPr>
        <w:t>.</w:t>
      </w:r>
    </w:p>
    <w:p w14:paraId="195FC1A6" w14:textId="77777777" w:rsidR="006A5A42" w:rsidRPr="00A976ED" w:rsidRDefault="006A5A42" w:rsidP="006A5A42">
      <w:pPr>
        <w:pStyle w:val="CommentText"/>
        <w:numPr>
          <w:ilvl w:val="0"/>
          <w:numId w:val="31"/>
        </w:numPr>
        <w:rPr>
          <w:sz w:val="24"/>
          <w:szCs w:val="24"/>
        </w:rPr>
      </w:pPr>
      <w:r w:rsidRPr="00A976ED">
        <w:rPr>
          <w:sz w:val="24"/>
          <w:szCs w:val="24"/>
        </w:rPr>
        <w:t>The benefits derived from the failure demand project in Customer Services and Direct Services. Whilst the quantum of savings is not certain, the remaining £36k should be achievable via these changes.</w:t>
      </w:r>
    </w:p>
    <w:p w14:paraId="0994CA8F" w14:textId="77777777" w:rsidR="006A5A42" w:rsidRDefault="006A5A42" w:rsidP="006A5A42">
      <w:pPr>
        <w:rPr>
          <w:rFonts w:eastAsia="Calibri" w:cs="Arial"/>
          <w:highlight w:val="yellow"/>
        </w:rPr>
      </w:pPr>
    </w:p>
    <w:p w14:paraId="2C2B8DD7" w14:textId="77777777" w:rsidR="00CB1092" w:rsidRPr="003C426F" w:rsidRDefault="00CB1092" w:rsidP="002B7914">
      <w:pPr>
        <w:autoSpaceDE w:val="0"/>
        <w:autoSpaceDN w:val="0"/>
        <w:adjustRightInd w:val="0"/>
        <w:ind w:left="1080" w:hanging="513"/>
        <w:jc w:val="both"/>
        <w:rPr>
          <w:rFonts w:cs="Arial"/>
          <w:b/>
        </w:rPr>
      </w:pPr>
      <w:r w:rsidRPr="003C426F">
        <w:rPr>
          <w:rFonts w:cs="Arial"/>
          <w:b/>
        </w:rPr>
        <w:t>Housing Revenue Account Budget 201</w:t>
      </w:r>
      <w:r w:rsidR="00453999" w:rsidRPr="003C426F">
        <w:rPr>
          <w:rFonts w:cs="Arial"/>
          <w:b/>
        </w:rPr>
        <w:t>7</w:t>
      </w:r>
      <w:r w:rsidRPr="003C426F">
        <w:rPr>
          <w:rFonts w:cs="Arial"/>
          <w:b/>
        </w:rPr>
        <w:t>/1</w:t>
      </w:r>
      <w:r w:rsidR="00453999" w:rsidRPr="003C426F">
        <w:rPr>
          <w:rFonts w:cs="Arial"/>
          <w:b/>
        </w:rPr>
        <w:t>8</w:t>
      </w:r>
      <w:r w:rsidRPr="003C426F">
        <w:rPr>
          <w:rFonts w:cs="Arial"/>
          <w:b/>
        </w:rPr>
        <w:t xml:space="preserve"> to 20</w:t>
      </w:r>
      <w:r w:rsidR="00453999" w:rsidRPr="003C426F">
        <w:rPr>
          <w:rFonts w:cs="Arial"/>
          <w:b/>
        </w:rPr>
        <w:t>20</w:t>
      </w:r>
      <w:r w:rsidRPr="003C426F">
        <w:rPr>
          <w:rFonts w:cs="Arial"/>
          <w:b/>
        </w:rPr>
        <w:t>/</w:t>
      </w:r>
      <w:r w:rsidR="00D06890" w:rsidRPr="003C426F">
        <w:rPr>
          <w:rFonts w:cs="Arial"/>
          <w:b/>
        </w:rPr>
        <w:t>2</w:t>
      </w:r>
      <w:r w:rsidR="00453999" w:rsidRPr="003C426F">
        <w:rPr>
          <w:rFonts w:cs="Arial"/>
          <w:b/>
        </w:rPr>
        <w:t>1</w:t>
      </w:r>
    </w:p>
    <w:p w14:paraId="1DED4C4C" w14:textId="77777777" w:rsidR="00583D9F" w:rsidRPr="003C426F" w:rsidRDefault="00583D9F" w:rsidP="002B7914">
      <w:pPr>
        <w:autoSpaceDE w:val="0"/>
        <w:autoSpaceDN w:val="0"/>
        <w:adjustRightInd w:val="0"/>
        <w:ind w:left="567" w:right="380" w:hanging="567"/>
        <w:jc w:val="both"/>
        <w:rPr>
          <w:rFonts w:cs="Arial"/>
        </w:rPr>
      </w:pPr>
    </w:p>
    <w:p w14:paraId="06C50110" w14:textId="452015AF" w:rsidR="00D52114" w:rsidRDefault="00496A88" w:rsidP="005A6CB9">
      <w:pPr>
        <w:autoSpaceDE w:val="0"/>
        <w:autoSpaceDN w:val="0"/>
        <w:adjustRightInd w:val="0"/>
        <w:ind w:left="567" w:right="380" w:hanging="567"/>
        <w:jc w:val="both"/>
        <w:rPr>
          <w:rFonts w:cs="Arial"/>
        </w:rPr>
      </w:pPr>
      <w:r>
        <w:rPr>
          <w:rFonts w:cs="Arial"/>
        </w:rPr>
        <w:t>4</w:t>
      </w:r>
      <w:r w:rsidR="00BD0932">
        <w:rPr>
          <w:rFonts w:cs="Arial"/>
        </w:rPr>
        <w:t>1</w:t>
      </w:r>
      <w:r w:rsidR="002507A0" w:rsidRPr="003C426F">
        <w:rPr>
          <w:rFonts w:cs="Arial"/>
        </w:rPr>
        <w:tab/>
      </w:r>
      <w:r w:rsidR="00CB1092" w:rsidRPr="003C426F">
        <w:rPr>
          <w:rFonts w:cs="Arial"/>
        </w:rPr>
        <w:t xml:space="preserve">Appendix </w:t>
      </w:r>
      <w:r w:rsidR="007E18CF" w:rsidRPr="003C426F">
        <w:rPr>
          <w:rFonts w:cs="Arial"/>
        </w:rPr>
        <w:t>4</w:t>
      </w:r>
      <w:r w:rsidR="00CB1092" w:rsidRPr="003C426F">
        <w:rPr>
          <w:rFonts w:cs="Arial"/>
        </w:rPr>
        <w:t xml:space="preserve"> details the HRA Budget for the period 201</w:t>
      </w:r>
      <w:r w:rsidR="00453999" w:rsidRPr="003C426F">
        <w:rPr>
          <w:rFonts w:cs="Arial"/>
        </w:rPr>
        <w:t>7</w:t>
      </w:r>
      <w:r w:rsidR="00CB1092" w:rsidRPr="003C426F">
        <w:rPr>
          <w:rFonts w:cs="Arial"/>
        </w:rPr>
        <w:t>/1</w:t>
      </w:r>
      <w:r w:rsidR="00453999" w:rsidRPr="003C426F">
        <w:rPr>
          <w:rFonts w:cs="Arial"/>
        </w:rPr>
        <w:t>8</w:t>
      </w:r>
      <w:r w:rsidR="00CB1092" w:rsidRPr="003C426F">
        <w:rPr>
          <w:rFonts w:cs="Arial"/>
        </w:rPr>
        <w:t xml:space="preserve"> to 20</w:t>
      </w:r>
      <w:r w:rsidR="00453999" w:rsidRPr="003C426F">
        <w:rPr>
          <w:rFonts w:cs="Arial"/>
        </w:rPr>
        <w:t>20</w:t>
      </w:r>
      <w:r w:rsidR="00CB1092" w:rsidRPr="003C426F">
        <w:rPr>
          <w:rFonts w:cs="Arial"/>
        </w:rPr>
        <w:t>/</w:t>
      </w:r>
      <w:r w:rsidR="001447C4" w:rsidRPr="003C426F">
        <w:rPr>
          <w:rFonts w:cs="Arial"/>
        </w:rPr>
        <w:t>2</w:t>
      </w:r>
      <w:r w:rsidR="00453999" w:rsidRPr="003C426F">
        <w:rPr>
          <w:rFonts w:cs="Arial"/>
        </w:rPr>
        <w:t>1</w:t>
      </w:r>
      <w:r w:rsidR="00CB1092" w:rsidRPr="003C426F">
        <w:rPr>
          <w:rFonts w:cs="Arial"/>
        </w:rPr>
        <w:t xml:space="preserve"> </w:t>
      </w:r>
      <w:r w:rsidR="00921B4B" w:rsidRPr="003C426F">
        <w:rPr>
          <w:rFonts w:cs="Arial"/>
        </w:rPr>
        <w:t xml:space="preserve">which </w:t>
      </w:r>
      <w:r w:rsidR="00CB1092" w:rsidRPr="003C426F">
        <w:rPr>
          <w:rFonts w:cs="Arial"/>
        </w:rPr>
        <w:t>is summarised below:</w:t>
      </w:r>
    </w:p>
    <w:p w14:paraId="4EC6831A" w14:textId="77777777" w:rsidR="00D52114" w:rsidRDefault="00D52114" w:rsidP="00CE3A3C">
      <w:pPr>
        <w:autoSpaceDE w:val="0"/>
        <w:autoSpaceDN w:val="0"/>
        <w:adjustRightInd w:val="0"/>
        <w:ind w:right="380"/>
        <w:jc w:val="both"/>
        <w:rPr>
          <w:rFonts w:cs="Arial"/>
        </w:rPr>
      </w:pPr>
    </w:p>
    <w:tbl>
      <w:tblPr>
        <w:tblW w:w="9380"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20"/>
        <w:gridCol w:w="1240"/>
        <w:gridCol w:w="1240"/>
        <w:gridCol w:w="1240"/>
        <w:gridCol w:w="1240"/>
      </w:tblGrid>
      <w:tr w:rsidR="00662880" w:rsidRPr="003C426F" w14:paraId="35C19C1B" w14:textId="77777777" w:rsidTr="00A67859">
        <w:trPr>
          <w:trHeight w:val="300"/>
        </w:trPr>
        <w:tc>
          <w:tcPr>
            <w:tcW w:w="4420" w:type="dxa"/>
            <w:shd w:val="clear" w:color="auto" w:fill="BFBFBF"/>
            <w:noWrap/>
            <w:vAlign w:val="bottom"/>
          </w:tcPr>
          <w:p w14:paraId="15A28337" w14:textId="77777777" w:rsidR="00662880" w:rsidRPr="003C426F" w:rsidRDefault="00662880" w:rsidP="00662880">
            <w:pPr>
              <w:rPr>
                <w:rFonts w:cs="Arial"/>
                <w:b/>
                <w:bCs/>
                <w:color w:val="000000"/>
                <w:sz w:val="22"/>
                <w:szCs w:val="22"/>
                <w:lang w:eastAsia="en-GB"/>
              </w:rPr>
            </w:pPr>
          </w:p>
        </w:tc>
        <w:tc>
          <w:tcPr>
            <w:tcW w:w="1240" w:type="dxa"/>
            <w:shd w:val="clear" w:color="auto" w:fill="BFBFBF"/>
            <w:noWrap/>
            <w:vAlign w:val="bottom"/>
            <w:hideMark/>
          </w:tcPr>
          <w:p w14:paraId="16908084" w14:textId="77777777" w:rsidR="00662880" w:rsidRPr="003C426F" w:rsidRDefault="00353BF9" w:rsidP="00453999">
            <w:pPr>
              <w:jc w:val="right"/>
              <w:rPr>
                <w:rFonts w:cs="Arial"/>
                <w:b/>
                <w:bCs/>
                <w:sz w:val="22"/>
                <w:szCs w:val="22"/>
                <w:lang w:eastAsia="en-GB"/>
              </w:rPr>
            </w:pPr>
            <w:r w:rsidRPr="003C426F">
              <w:rPr>
                <w:rFonts w:cs="Arial"/>
                <w:b/>
                <w:bCs/>
                <w:sz w:val="22"/>
                <w:szCs w:val="22"/>
                <w:lang w:eastAsia="en-GB"/>
              </w:rPr>
              <w:t>201</w:t>
            </w:r>
            <w:r w:rsidR="00453999" w:rsidRPr="003C426F">
              <w:rPr>
                <w:rFonts w:cs="Arial"/>
                <w:b/>
                <w:bCs/>
                <w:sz w:val="22"/>
                <w:szCs w:val="22"/>
                <w:lang w:eastAsia="en-GB"/>
              </w:rPr>
              <w:t>7</w:t>
            </w:r>
            <w:r w:rsidRPr="003C426F">
              <w:rPr>
                <w:rFonts w:cs="Arial"/>
                <w:b/>
                <w:bCs/>
                <w:sz w:val="22"/>
                <w:szCs w:val="22"/>
                <w:lang w:eastAsia="en-GB"/>
              </w:rPr>
              <w:t>/1</w:t>
            </w:r>
            <w:r w:rsidR="00453999" w:rsidRPr="003C426F">
              <w:rPr>
                <w:rFonts w:cs="Arial"/>
                <w:b/>
                <w:bCs/>
                <w:sz w:val="22"/>
                <w:szCs w:val="22"/>
                <w:lang w:eastAsia="en-GB"/>
              </w:rPr>
              <w:t>8</w:t>
            </w:r>
            <w:r w:rsidR="00662880" w:rsidRPr="003C426F">
              <w:rPr>
                <w:rFonts w:cs="Arial"/>
                <w:b/>
                <w:bCs/>
                <w:sz w:val="22"/>
                <w:szCs w:val="22"/>
                <w:lang w:eastAsia="en-GB"/>
              </w:rPr>
              <w:t> </w:t>
            </w:r>
          </w:p>
        </w:tc>
        <w:tc>
          <w:tcPr>
            <w:tcW w:w="1240" w:type="dxa"/>
            <w:shd w:val="clear" w:color="auto" w:fill="BFBFBF"/>
            <w:noWrap/>
            <w:vAlign w:val="bottom"/>
            <w:hideMark/>
          </w:tcPr>
          <w:p w14:paraId="409F0FE2" w14:textId="77777777" w:rsidR="00662880" w:rsidRPr="003C426F" w:rsidRDefault="00353BF9" w:rsidP="00453999">
            <w:pPr>
              <w:jc w:val="right"/>
              <w:rPr>
                <w:rFonts w:cs="Arial"/>
                <w:b/>
                <w:color w:val="000000"/>
                <w:sz w:val="22"/>
                <w:szCs w:val="22"/>
                <w:lang w:eastAsia="en-GB"/>
              </w:rPr>
            </w:pPr>
            <w:r w:rsidRPr="003C426F">
              <w:rPr>
                <w:rFonts w:cs="Arial"/>
                <w:b/>
                <w:color w:val="000000"/>
                <w:sz w:val="22"/>
                <w:szCs w:val="22"/>
                <w:lang w:eastAsia="en-GB"/>
              </w:rPr>
              <w:t>201</w:t>
            </w:r>
            <w:r w:rsidR="00453999" w:rsidRPr="003C426F">
              <w:rPr>
                <w:rFonts w:cs="Arial"/>
                <w:b/>
                <w:color w:val="000000"/>
                <w:sz w:val="22"/>
                <w:szCs w:val="22"/>
                <w:lang w:eastAsia="en-GB"/>
              </w:rPr>
              <w:t>8</w:t>
            </w:r>
            <w:r w:rsidRPr="003C426F">
              <w:rPr>
                <w:rFonts w:cs="Arial"/>
                <w:b/>
                <w:color w:val="000000"/>
                <w:sz w:val="22"/>
                <w:szCs w:val="22"/>
                <w:lang w:eastAsia="en-GB"/>
              </w:rPr>
              <w:t>/1</w:t>
            </w:r>
            <w:r w:rsidR="00453999" w:rsidRPr="003C426F">
              <w:rPr>
                <w:rFonts w:cs="Arial"/>
                <w:b/>
                <w:color w:val="000000"/>
                <w:sz w:val="22"/>
                <w:szCs w:val="22"/>
                <w:lang w:eastAsia="en-GB"/>
              </w:rPr>
              <w:t>9</w:t>
            </w:r>
            <w:r w:rsidR="00662880" w:rsidRPr="003C426F">
              <w:rPr>
                <w:rFonts w:cs="Arial"/>
                <w:b/>
                <w:color w:val="000000"/>
                <w:sz w:val="22"/>
                <w:szCs w:val="22"/>
                <w:lang w:eastAsia="en-GB"/>
              </w:rPr>
              <w:t> </w:t>
            </w:r>
          </w:p>
        </w:tc>
        <w:tc>
          <w:tcPr>
            <w:tcW w:w="1240" w:type="dxa"/>
            <w:shd w:val="clear" w:color="auto" w:fill="BFBFBF"/>
            <w:noWrap/>
            <w:vAlign w:val="bottom"/>
            <w:hideMark/>
          </w:tcPr>
          <w:p w14:paraId="31313954" w14:textId="77777777" w:rsidR="00662880" w:rsidRPr="003C426F" w:rsidRDefault="00353BF9" w:rsidP="00453999">
            <w:pPr>
              <w:jc w:val="right"/>
              <w:rPr>
                <w:rFonts w:cs="Arial"/>
                <w:b/>
                <w:color w:val="000000"/>
                <w:sz w:val="22"/>
                <w:szCs w:val="22"/>
                <w:lang w:eastAsia="en-GB"/>
              </w:rPr>
            </w:pPr>
            <w:r w:rsidRPr="003C426F">
              <w:rPr>
                <w:rFonts w:cs="Arial"/>
                <w:b/>
                <w:color w:val="000000"/>
                <w:sz w:val="22"/>
                <w:szCs w:val="22"/>
                <w:lang w:eastAsia="en-GB"/>
              </w:rPr>
              <w:t>201</w:t>
            </w:r>
            <w:r w:rsidR="00453999" w:rsidRPr="003C426F">
              <w:rPr>
                <w:rFonts w:cs="Arial"/>
                <w:b/>
                <w:color w:val="000000"/>
                <w:sz w:val="22"/>
                <w:szCs w:val="22"/>
                <w:lang w:eastAsia="en-GB"/>
              </w:rPr>
              <w:t>9</w:t>
            </w:r>
            <w:r w:rsidRPr="003C426F">
              <w:rPr>
                <w:rFonts w:cs="Arial"/>
                <w:b/>
                <w:color w:val="000000"/>
                <w:sz w:val="22"/>
                <w:szCs w:val="22"/>
                <w:lang w:eastAsia="en-GB"/>
              </w:rPr>
              <w:t>/</w:t>
            </w:r>
            <w:r w:rsidR="00453999" w:rsidRPr="003C426F">
              <w:rPr>
                <w:rFonts w:cs="Arial"/>
                <w:b/>
                <w:color w:val="000000"/>
                <w:sz w:val="22"/>
                <w:szCs w:val="22"/>
                <w:lang w:eastAsia="en-GB"/>
              </w:rPr>
              <w:t>20</w:t>
            </w:r>
            <w:r w:rsidR="00662880" w:rsidRPr="003C426F">
              <w:rPr>
                <w:rFonts w:cs="Arial"/>
                <w:b/>
                <w:color w:val="000000"/>
                <w:sz w:val="22"/>
                <w:szCs w:val="22"/>
                <w:lang w:eastAsia="en-GB"/>
              </w:rPr>
              <w:t> </w:t>
            </w:r>
          </w:p>
        </w:tc>
        <w:tc>
          <w:tcPr>
            <w:tcW w:w="1240" w:type="dxa"/>
            <w:shd w:val="clear" w:color="auto" w:fill="BFBFBF"/>
            <w:noWrap/>
            <w:vAlign w:val="bottom"/>
            <w:hideMark/>
          </w:tcPr>
          <w:p w14:paraId="48711864" w14:textId="77777777" w:rsidR="00662880" w:rsidRPr="003C426F" w:rsidRDefault="00353BF9" w:rsidP="00453999">
            <w:pPr>
              <w:jc w:val="right"/>
              <w:rPr>
                <w:rFonts w:cs="Arial"/>
                <w:b/>
                <w:color w:val="000000"/>
                <w:sz w:val="22"/>
                <w:szCs w:val="22"/>
                <w:lang w:eastAsia="en-GB"/>
              </w:rPr>
            </w:pPr>
            <w:r w:rsidRPr="003C426F">
              <w:rPr>
                <w:rFonts w:cs="Arial"/>
                <w:b/>
                <w:color w:val="000000"/>
                <w:sz w:val="22"/>
                <w:szCs w:val="22"/>
                <w:lang w:eastAsia="en-GB"/>
              </w:rPr>
              <w:t>20</w:t>
            </w:r>
            <w:r w:rsidR="00453999" w:rsidRPr="003C426F">
              <w:rPr>
                <w:rFonts w:cs="Arial"/>
                <w:b/>
                <w:color w:val="000000"/>
                <w:sz w:val="22"/>
                <w:szCs w:val="22"/>
                <w:lang w:eastAsia="en-GB"/>
              </w:rPr>
              <w:t>20</w:t>
            </w:r>
            <w:r w:rsidRPr="003C426F">
              <w:rPr>
                <w:rFonts w:cs="Arial"/>
                <w:b/>
                <w:color w:val="000000"/>
                <w:sz w:val="22"/>
                <w:szCs w:val="22"/>
                <w:lang w:eastAsia="en-GB"/>
              </w:rPr>
              <w:t>/2</w:t>
            </w:r>
            <w:r w:rsidR="00453999" w:rsidRPr="003C426F">
              <w:rPr>
                <w:rFonts w:cs="Arial"/>
                <w:b/>
                <w:color w:val="000000"/>
                <w:sz w:val="22"/>
                <w:szCs w:val="22"/>
                <w:lang w:eastAsia="en-GB"/>
              </w:rPr>
              <w:t>1</w:t>
            </w:r>
            <w:r w:rsidR="00662880" w:rsidRPr="003C426F">
              <w:rPr>
                <w:rFonts w:cs="Arial"/>
                <w:b/>
                <w:color w:val="000000"/>
                <w:sz w:val="22"/>
                <w:szCs w:val="22"/>
                <w:lang w:eastAsia="en-GB"/>
              </w:rPr>
              <w:t> </w:t>
            </w:r>
          </w:p>
        </w:tc>
      </w:tr>
      <w:tr w:rsidR="00662880" w:rsidRPr="003C426F" w14:paraId="19344AF5" w14:textId="77777777" w:rsidTr="00A67859">
        <w:trPr>
          <w:trHeight w:val="300"/>
        </w:trPr>
        <w:tc>
          <w:tcPr>
            <w:tcW w:w="4420" w:type="dxa"/>
            <w:shd w:val="clear" w:color="auto" w:fill="BFBFBF"/>
            <w:noWrap/>
            <w:vAlign w:val="bottom"/>
            <w:hideMark/>
          </w:tcPr>
          <w:p w14:paraId="5F8E813D" w14:textId="77777777" w:rsidR="00662880" w:rsidRPr="003C426F" w:rsidRDefault="00165A9E" w:rsidP="00A02588">
            <w:pPr>
              <w:rPr>
                <w:rFonts w:cs="Arial"/>
                <w:b/>
                <w:bCs/>
                <w:color w:val="000000"/>
                <w:sz w:val="22"/>
                <w:szCs w:val="22"/>
                <w:lang w:eastAsia="en-GB"/>
              </w:rPr>
            </w:pPr>
            <w:r w:rsidRPr="003C426F">
              <w:rPr>
                <w:rFonts w:cs="Arial"/>
                <w:b/>
                <w:bCs/>
                <w:color w:val="000000"/>
                <w:sz w:val="22"/>
                <w:szCs w:val="22"/>
                <w:lang w:eastAsia="en-GB"/>
              </w:rPr>
              <w:t xml:space="preserve">TABLE </w:t>
            </w:r>
            <w:r w:rsidR="004668D0" w:rsidRPr="003C426F">
              <w:rPr>
                <w:rFonts w:cs="Arial"/>
                <w:b/>
                <w:bCs/>
                <w:color w:val="000000"/>
                <w:sz w:val="22"/>
                <w:szCs w:val="22"/>
                <w:lang w:eastAsia="en-GB"/>
              </w:rPr>
              <w:t>10</w:t>
            </w:r>
            <w:r w:rsidR="00662880" w:rsidRPr="003C426F">
              <w:rPr>
                <w:rFonts w:cs="Arial"/>
                <w:b/>
                <w:bCs/>
                <w:color w:val="000000"/>
                <w:sz w:val="22"/>
                <w:szCs w:val="22"/>
                <w:lang w:eastAsia="en-GB"/>
              </w:rPr>
              <w:t xml:space="preserve"> HOUSING REVENUE ACCOUNT </w:t>
            </w:r>
          </w:p>
        </w:tc>
        <w:tc>
          <w:tcPr>
            <w:tcW w:w="1240" w:type="dxa"/>
            <w:shd w:val="clear" w:color="auto" w:fill="BFBFBF"/>
            <w:noWrap/>
            <w:vAlign w:val="bottom"/>
            <w:hideMark/>
          </w:tcPr>
          <w:p w14:paraId="7900DB4C" w14:textId="77777777" w:rsidR="00662880" w:rsidRPr="003C426F" w:rsidRDefault="00353BF9" w:rsidP="004668D0">
            <w:pPr>
              <w:jc w:val="right"/>
              <w:rPr>
                <w:rFonts w:cs="Arial"/>
                <w:b/>
                <w:color w:val="000000"/>
                <w:sz w:val="22"/>
                <w:szCs w:val="22"/>
                <w:lang w:eastAsia="en-GB"/>
              </w:rPr>
            </w:pPr>
            <w:r w:rsidRPr="003C426F">
              <w:rPr>
                <w:rFonts w:cs="Arial"/>
                <w:b/>
                <w:color w:val="000000"/>
                <w:sz w:val="22"/>
                <w:szCs w:val="22"/>
                <w:lang w:eastAsia="en-GB"/>
              </w:rPr>
              <w:t>£</w:t>
            </w:r>
            <w:r w:rsidR="004668D0" w:rsidRPr="003C426F">
              <w:rPr>
                <w:rFonts w:cs="Arial"/>
                <w:b/>
                <w:color w:val="000000"/>
                <w:sz w:val="22"/>
                <w:szCs w:val="22"/>
                <w:lang w:eastAsia="en-GB"/>
              </w:rPr>
              <w:t>000’s</w:t>
            </w:r>
            <w:r w:rsidR="00662880" w:rsidRPr="003C426F">
              <w:rPr>
                <w:rFonts w:cs="Arial"/>
                <w:b/>
                <w:color w:val="000000"/>
                <w:sz w:val="22"/>
                <w:szCs w:val="22"/>
                <w:lang w:eastAsia="en-GB"/>
              </w:rPr>
              <w:t> </w:t>
            </w:r>
          </w:p>
        </w:tc>
        <w:tc>
          <w:tcPr>
            <w:tcW w:w="1240" w:type="dxa"/>
            <w:shd w:val="clear" w:color="auto" w:fill="BFBFBF"/>
            <w:noWrap/>
            <w:vAlign w:val="bottom"/>
            <w:hideMark/>
          </w:tcPr>
          <w:p w14:paraId="30E9E028" w14:textId="77777777" w:rsidR="00662880" w:rsidRPr="003C426F" w:rsidRDefault="00353BF9" w:rsidP="004668D0">
            <w:pPr>
              <w:jc w:val="right"/>
              <w:rPr>
                <w:rFonts w:cs="Arial"/>
                <w:color w:val="000000"/>
                <w:sz w:val="22"/>
                <w:szCs w:val="22"/>
                <w:lang w:eastAsia="en-GB"/>
              </w:rPr>
            </w:pPr>
            <w:r w:rsidRPr="003C426F">
              <w:rPr>
                <w:rFonts w:cs="Arial"/>
                <w:b/>
                <w:color w:val="000000"/>
                <w:sz w:val="22"/>
                <w:szCs w:val="22"/>
                <w:lang w:eastAsia="en-GB"/>
              </w:rPr>
              <w:t>£</w:t>
            </w:r>
            <w:r w:rsidR="004668D0" w:rsidRPr="003C426F">
              <w:rPr>
                <w:rFonts w:cs="Arial"/>
                <w:b/>
                <w:color w:val="000000"/>
                <w:sz w:val="22"/>
                <w:szCs w:val="22"/>
                <w:lang w:eastAsia="en-GB"/>
              </w:rPr>
              <w:t>000’s</w:t>
            </w:r>
            <w:r w:rsidR="00662880" w:rsidRPr="003C426F">
              <w:rPr>
                <w:rFonts w:cs="Arial"/>
                <w:color w:val="000000"/>
                <w:sz w:val="22"/>
                <w:szCs w:val="22"/>
                <w:lang w:eastAsia="en-GB"/>
              </w:rPr>
              <w:t> </w:t>
            </w:r>
          </w:p>
        </w:tc>
        <w:tc>
          <w:tcPr>
            <w:tcW w:w="1240" w:type="dxa"/>
            <w:shd w:val="clear" w:color="auto" w:fill="BFBFBF"/>
            <w:noWrap/>
            <w:vAlign w:val="bottom"/>
            <w:hideMark/>
          </w:tcPr>
          <w:p w14:paraId="17492797" w14:textId="77777777" w:rsidR="00662880" w:rsidRPr="003C426F" w:rsidRDefault="00353BF9" w:rsidP="004668D0">
            <w:pPr>
              <w:jc w:val="right"/>
              <w:rPr>
                <w:rFonts w:cs="Arial"/>
                <w:color w:val="000000"/>
                <w:sz w:val="22"/>
                <w:szCs w:val="22"/>
                <w:lang w:eastAsia="en-GB"/>
              </w:rPr>
            </w:pPr>
            <w:r w:rsidRPr="003C426F">
              <w:rPr>
                <w:rFonts w:cs="Arial"/>
                <w:b/>
                <w:color w:val="000000"/>
                <w:sz w:val="22"/>
                <w:szCs w:val="22"/>
                <w:lang w:eastAsia="en-GB"/>
              </w:rPr>
              <w:t>£</w:t>
            </w:r>
            <w:r w:rsidR="004668D0" w:rsidRPr="003C426F">
              <w:rPr>
                <w:rFonts w:cs="Arial"/>
                <w:b/>
                <w:color w:val="000000"/>
                <w:sz w:val="22"/>
                <w:szCs w:val="22"/>
                <w:lang w:eastAsia="en-GB"/>
              </w:rPr>
              <w:t>000’s</w:t>
            </w:r>
            <w:r w:rsidR="00662880" w:rsidRPr="003C426F">
              <w:rPr>
                <w:rFonts w:cs="Arial"/>
                <w:color w:val="000000"/>
                <w:sz w:val="22"/>
                <w:szCs w:val="22"/>
                <w:lang w:eastAsia="en-GB"/>
              </w:rPr>
              <w:t> </w:t>
            </w:r>
          </w:p>
        </w:tc>
        <w:tc>
          <w:tcPr>
            <w:tcW w:w="1240" w:type="dxa"/>
            <w:shd w:val="clear" w:color="auto" w:fill="BFBFBF"/>
            <w:noWrap/>
            <w:vAlign w:val="bottom"/>
            <w:hideMark/>
          </w:tcPr>
          <w:p w14:paraId="6C808326" w14:textId="77777777" w:rsidR="00662880" w:rsidRPr="003C426F" w:rsidRDefault="00353BF9" w:rsidP="004668D0">
            <w:pPr>
              <w:jc w:val="right"/>
              <w:rPr>
                <w:rFonts w:cs="Arial"/>
                <w:color w:val="000000"/>
                <w:sz w:val="22"/>
                <w:szCs w:val="22"/>
                <w:lang w:eastAsia="en-GB"/>
              </w:rPr>
            </w:pPr>
            <w:r w:rsidRPr="003C426F">
              <w:rPr>
                <w:rFonts w:cs="Arial"/>
                <w:b/>
                <w:color w:val="000000"/>
                <w:sz w:val="22"/>
                <w:szCs w:val="22"/>
                <w:lang w:eastAsia="en-GB"/>
              </w:rPr>
              <w:t>£</w:t>
            </w:r>
            <w:r w:rsidR="004668D0" w:rsidRPr="003C426F">
              <w:rPr>
                <w:rFonts w:cs="Arial"/>
                <w:b/>
                <w:color w:val="000000"/>
                <w:sz w:val="22"/>
                <w:szCs w:val="22"/>
                <w:lang w:eastAsia="en-GB"/>
              </w:rPr>
              <w:t>000’s</w:t>
            </w:r>
            <w:r w:rsidR="00662880" w:rsidRPr="003C426F">
              <w:rPr>
                <w:rFonts w:cs="Arial"/>
                <w:color w:val="000000"/>
                <w:sz w:val="22"/>
                <w:szCs w:val="22"/>
                <w:lang w:eastAsia="en-GB"/>
              </w:rPr>
              <w:t> </w:t>
            </w:r>
          </w:p>
        </w:tc>
      </w:tr>
      <w:tr w:rsidR="00662880" w:rsidRPr="003C426F" w14:paraId="5A11FA41" w14:textId="77777777" w:rsidTr="004668D0">
        <w:trPr>
          <w:trHeight w:val="300"/>
        </w:trPr>
        <w:tc>
          <w:tcPr>
            <w:tcW w:w="4420" w:type="dxa"/>
            <w:shd w:val="clear" w:color="000000" w:fill="FFFFFF"/>
            <w:noWrap/>
            <w:vAlign w:val="bottom"/>
            <w:hideMark/>
          </w:tcPr>
          <w:p w14:paraId="062C601D" w14:textId="77777777" w:rsidR="00662880" w:rsidRPr="003C426F" w:rsidRDefault="00662880" w:rsidP="00662880">
            <w:pPr>
              <w:rPr>
                <w:rFonts w:cs="Arial"/>
                <w:b/>
                <w:bCs/>
                <w:color w:val="000000"/>
                <w:sz w:val="22"/>
                <w:szCs w:val="22"/>
                <w:lang w:eastAsia="en-GB"/>
              </w:rPr>
            </w:pPr>
          </w:p>
        </w:tc>
        <w:tc>
          <w:tcPr>
            <w:tcW w:w="1240" w:type="dxa"/>
            <w:shd w:val="clear" w:color="000000" w:fill="FFFFFF"/>
            <w:noWrap/>
            <w:vAlign w:val="bottom"/>
            <w:hideMark/>
          </w:tcPr>
          <w:p w14:paraId="6F6FFA78" w14:textId="77777777" w:rsidR="00662880" w:rsidRPr="003C426F" w:rsidRDefault="00662880" w:rsidP="004668D0">
            <w:pPr>
              <w:jc w:val="right"/>
              <w:rPr>
                <w:rFonts w:cs="Arial"/>
                <w:color w:val="000000"/>
                <w:sz w:val="22"/>
                <w:szCs w:val="22"/>
                <w:lang w:eastAsia="en-GB"/>
              </w:rPr>
            </w:pPr>
            <w:r w:rsidRPr="003C426F">
              <w:rPr>
                <w:rFonts w:cs="Arial"/>
                <w:color w:val="000000"/>
                <w:sz w:val="22"/>
                <w:szCs w:val="22"/>
                <w:lang w:eastAsia="en-GB"/>
              </w:rPr>
              <w:t> </w:t>
            </w:r>
          </w:p>
        </w:tc>
        <w:tc>
          <w:tcPr>
            <w:tcW w:w="1240" w:type="dxa"/>
            <w:shd w:val="clear" w:color="000000" w:fill="FFFFFF"/>
            <w:noWrap/>
            <w:vAlign w:val="bottom"/>
            <w:hideMark/>
          </w:tcPr>
          <w:p w14:paraId="35E8C7CE" w14:textId="77777777" w:rsidR="00662880" w:rsidRPr="003C426F" w:rsidRDefault="00662880" w:rsidP="004668D0">
            <w:pPr>
              <w:jc w:val="right"/>
              <w:rPr>
                <w:rFonts w:cs="Arial"/>
                <w:color w:val="000000"/>
                <w:sz w:val="22"/>
                <w:szCs w:val="22"/>
                <w:lang w:eastAsia="en-GB"/>
              </w:rPr>
            </w:pPr>
            <w:r w:rsidRPr="003C426F">
              <w:rPr>
                <w:rFonts w:cs="Arial"/>
                <w:color w:val="000000"/>
                <w:sz w:val="22"/>
                <w:szCs w:val="22"/>
                <w:lang w:eastAsia="en-GB"/>
              </w:rPr>
              <w:t> </w:t>
            </w:r>
          </w:p>
        </w:tc>
        <w:tc>
          <w:tcPr>
            <w:tcW w:w="1240" w:type="dxa"/>
            <w:shd w:val="clear" w:color="000000" w:fill="FFFFFF"/>
            <w:noWrap/>
            <w:vAlign w:val="bottom"/>
            <w:hideMark/>
          </w:tcPr>
          <w:p w14:paraId="3E45E734" w14:textId="77777777" w:rsidR="00662880" w:rsidRPr="003C426F" w:rsidRDefault="00662880" w:rsidP="004668D0">
            <w:pPr>
              <w:jc w:val="right"/>
              <w:rPr>
                <w:rFonts w:cs="Arial"/>
                <w:color w:val="000000"/>
                <w:sz w:val="22"/>
                <w:szCs w:val="22"/>
                <w:lang w:eastAsia="en-GB"/>
              </w:rPr>
            </w:pPr>
            <w:r w:rsidRPr="003C426F">
              <w:rPr>
                <w:rFonts w:cs="Arial"/>
                <w:color w:val="000000"/>
                <w:sz w:val="22"/>
                <w:szCs w:val="22"/>
                <w:lang w:eastAsia="en-GB"/>
              </w:rPr>
              <w:t> </w:t>
            </w:r>
          </w:p>
        </w:tc>
        <w:tc>
          <w:tcPr>
            <w:tcW w:w="1240" w:type="dxa"/>
            <w:shd w:val="clear" w:color="000000" w:fill="FFFFFF"/>
            <w:noWrap/>
            <w:vAlign w:val="bottom"/>
            <w:hideMark/>
          </w:tcPr>
          <w:p w14:paraId="1AC386AA" w14:textId="77777777" w:rsidR="00662880" w:rsidRPr="003C426F" w:rsidRDefault="00662880" w:rsidP="004668D0">
            <w:pPr>
              <w:jc w:val="right"/>
              <w:rPr>
                <w:rFonts w:cs="Arial"/>
                <w:color w:val="000000"/>
                <w:sz w:val="22"/>
                <w:szCs w:val="22"/>
                <w:lang w:eastAsia="en-GB"/>
              </w:rPr>
            </w:pPr>
            <w:r w:rsidRPr="003C426F">
              <w:rPr>
                <w:rFonts w:cs="Arial"/>
                <w:color w:val="000000"/>
                <w:sz w:val="22"/>
                <w:szCs w:val="22"/>
                <w:lang w:eastAsia="en-GB"/>
              </w:rPr>
              <w:t> </w:t>
            </w:r>
          </w:p>
        </w:tc>
      </w:tr>
      <w:tr w:rsidR="00662880" w:rsidRPr="003C426F" w14:paraId="3EB94141" w14:textId="77777777" w:rsidTr="00453999">
        <w:trPr>
          <w:trHeight w:val="300"/>
        </w:trPr>
        <w:tc>
          <w:tcPr>
            <w:tcW w:w="4420" w:type="dxa"/>
            <w:shd w:val="clear" w:color="000000" w:fill="FFFFFF"/>
            <w:noWrap/>
            <w:vAlign w:val="bottom"/>
            <w:hideMark/>
          </w:tcPr>
          <w:p w14:paraId="7EBA68ED" w14:textId="77777777" w:rsidR="00662880" w:rsidRPr="003C426F" w:rsidRDefault="00662880" w:rsidP="00662880">
            <w:pPr>
              <w:rPr>
                <w:rFonts w:cs="Arial"/>
                <w:color w:val="000000"/>
                <w:sz w:val="22"/>
                <w:szCs w:val="22"/>
                <w:lang w:eastAsia="en-GB"/>
              </w:rPr>
            </w:pPr>
            <w:r w:rsidRPr="003C426F">
              <w:rPr>
                <w:rFonts w:cs="Arial"/>
                <w:color w:val="000000"/>
                <w:sz w:val="22"/>
                <w:szCs w:val="22"/>
                <w:lang w:eastAsia="en-GB"/>
              </w:rPr>
              <w:t> </w:t>
            </w:r>
            <w:r w:rsidR="00353BF9" w:rsidRPr="003C426F">
              <w:rPr>
                <w:rFonts w:cs="Arial"/>
                <w:color w:val="000000"/>
                <w:sz w:val="22"/>
                <w:szCs w:val="22"/>
                <w:lang w:eastAsia="en-GB"/>
              </w:rPr>
              <w:t>Income</w:t>
            </w:r>
          </w:p>
        </w:tc>
        <w:tc>
          <w:tcPr>
            <w:tcW w:w="1240" w:type="dxa"/>
            <w:shd w:val="clear" w:color="000000" w:fill="FFFFFF"/>
            <w:noWrap/>
            <w:vAlign w:val="bottom"/>
          </w:tcPr>
          <w:p w14:paraId="505839B8" w14:textId="77777777" w:rsidR="00662880" w:rsidRPr="003C426F" w:rsidRDefault="00453999" w:rsidP="004668D0">
            <w:pPr>
              <w:jc w:val="right"/>
              <w:rPr>
                <w:rFonts w:cs="Arial"/>
                <w:color w:val="000000"/>
                <w:sz w:val="22"/>
                <w:szCs w:val="22"/>
                <w:lang w:eastAsia="en-GB"/>
              </w:rPr>
            </w:pPr>
            <w:r w:rsidRPr="003C426F">
              <w:rPr>
                <w:rFonts w:cs="Arial"/>
                <w:color w:val="000000"/>
                <w:sz w:val="22"/>
                <w:szCs w:val="22"/>
                <w:lang w:eastAsia="en-GB"/>
              </w:rPr>
              <w:t>(44,285)</w:t>
            </w:r>
          </w:p>
        </w:tc>
        <w:tc>
          <w:tcPr>
            <w:tcW w:w="1240" w:type="dxa"/>
            <w:shd w:val="clear" w:color="000000" w:fill="FFFFFF"/>
            <w:noWrap/>
            <w:vAlign w:val="bottom"/>
          </w:tcPr>
          <w:p w14:paraId="63AB17CA" w14:textId="77777777" w:rsidR="00662880" w:rsidRPr="003C426F" w:rsidRDefault="00453999" w:rsidP="00EC4D06">
            <w:pPr>
              <w:jc w:val="right"/>
              <w:rPr>
                <w:rFonts w:cs="Arial"/>
                <w:color w:val="000000"/>
                <w:sz w:val="22"/>
                <w:szCs w:val="22"/>
                <w:lang w:eastAsia="en-GB"/>
              </w:rPr>
            </w:pPr>
            <w:r w:rsidRPr="003C426F">
              <w:rPr>
                <w:rFonts w:cs="Arial"/>
                <w:color w:val="000000"/>
                <w:sz w:val="22"/>
                <w:szCs w:val="22"/>
                <w:lang w:eastAsia="en-GB"/>
              </w:rPr>
              <w:t>(4</w:t>
            </w:r>
            <w:r w:rsidR="00EC4D06">
              <w:rPr>
                <w:rFonts w:cs="Arial"/>
                <w:color w:val="000000"/>
                <w:sz w:val="22"/>
                <w:szCs w:val="22"/>
                <w:lang w:eastAsia="en-GB"/>
              </w:rPr>
              <w:t>3</w:t>
            </w:r>
            <w:r w:rsidRPr="003C426F">
              <w:rPr>
                <w:rFonts w:cs="Arial"/>
                <w:color w:val="000000"/>
                <w:sz w:val="22"/>
                <w:szCs w:val="22"/>
                <w:lang w:eastAsia="en-GB"/>
              </w:rPr>
              <w:t>,</w:t>
            </w:r>
            <w:r w:rsidR="00EC4D06">
              <w:rPr>
                <w:rFonts w:cs="Arial"/>
                <w:color w:val="000000"/>
                <w:sz w:val="22"/>
                <w:szCs w:val="22"/>
                <w:lang w:eastAsia="en-GB"/>
              </w:rPr>
              <w:t>310</w:t>
            </w:r>
            <w:r w:rsidRPr="003C426F">
              <w:rPr>
                <w:rFonts w:cs="Arial"/>
                <w:color w:val="000000"/>
                <w:sz w:val="22"/>
                <w:szCs w:val="22"/>
                <w:lang w:eastAsia="en-GB"/>
              </w:rPr>
              <w:t>)</w:t>
            </w:r>
          </w:p>
        </w:tc>
        <w:tc>
          <w:tcPr>
            <w:tcW w:w="1240" w:type="dxa"/>
            <w:shd w:val="clear" w:color="000000" w:fill="FFFFFF"/>
            <w:noWrap/>
            <w:vAlign w:val="bottom"/>
          </w:tcPr>
          <w:p w14:paraId="35BC9951" w14:textId="77777777" w:rsidR="00662880" w:rsidRPr="003C426F" w:rsidRDefault="00453999" w:rsidP="00EC4D06">
            <w:pPr>
              <w:jc w:val="right"/>
              <w:rPr>
                <w:rFonts w:cs="Arial"/>
                <w:color w:val="000000"/>
                <w:sz w:val="22"/>
                <w:szCs w:val="22"/>
                <w:lang w:eastAsia="en-GB"/>
              </w:rPr>
            </w:pPr>
            <w:r w:rsidRPr="003C426F">
              <w:rPr>
                <w:rFonts w:cs="Arial"/>
                <w:color w:val="000000"/>
                <w:sz w:val="22"/>
                <w:szCs w:val="22"/>
                <w:lang w:eastAsia="en-GB"/>
              </w:rPr>
              <w:t>(4</w:t>
            </w:r>
            <w:r w:rsidR="00EC4D06">
              <w:rPr>
                <w:rFonts w:cs="Arial"/>
                <w:color w:val="000000"/>
                <w:sz w:val="22"/>
                <w:szCs w:val="22"/>
                <w:lang w:eastAsia="en-GB"/>
              </w:rPr>
              <w:t>3</w:t>
            </w:r>
            <w:r w:rsidRPr="003C426F">
              <w:rPr>
                <w:rFonts w:cs="Arial"/>
                <w:color w:val="000000"/>
                <w:sz w:val="22"/>
                <w:szCs w:val="22"/>
                <w:lang w:eastAsia="en-GB"/>
              </w:rPr>
              <w:t>,</w:t>
            </w:r>
            <w:r w:rsidR="00EC4D06">
              <w:rPr>
                <w:rFonts w:cs="Arial"/>
                <w:color w:val="000000"/>
                <w:sz w:val="22"/>
                <w:szCs w:val="22"/>
                <w:lang w:eastAsia="en-GB"/>
              </w:rPr>
              <w:t>574</w:t>
            </w:r>
            <w:r w:rsidRPr="003C426F">
              <w:rPr>
                <w:rFonts w:cs="Arial"/>
                <w:color w:val="000000"/>
                <w:sz w:val="22"/>
                <w:szCs w:val="22"/>
                <w:lang w:eastAsia="en-GB"/>
              </w:rPr>
              <w:t>)</w:t>
            </w:r>
          </w:p>
        </w:tc>
        <w:tc>
          <w:tcPr>
            <w:tcW w:w="1240" w:type="dxa"/>
            <w:shd w:val="clear" w:color="000000" w:fill="FFFFFF"/>
            <w:noWrap/>
            <w:vAlign w:val="bottom"/>
          </w:tcPr>
          <w:p w14:paraId="1F5298B6" w14:textId="77777777" w:rsidR="00662880" w:rsidRPr="003C426F" w:rsidRDefault="00453999" w:rsidP="00EC4D06">
            <w:pPr>
              <w:jc w:val="right"/>
              <w:rPr>
                <w:rFonts w:cs="Arial"/>
                <w:color w:val="000000"/>
                <w:sz w:val="22"/>
                <w:szCs w:val="22"/>
                <w:lang w:eastAsia="en-GB"/>
              </w:rPr>
            </w:pPr>
            <w:r w:rsidRPr="003C426F">
              <w:rPr>
                <w:rFonts w:cs="Arial"/>
                <w:color w:val="000000"/>
                <w:sz w:val="22"/>
                <w:szCs w:val="22"/>
                <w:lang w:eastAsia="en-GB"/>
              </w:rPr>
              <w:t>(4</w:t>
            </w:r>
            <w:r w:rsidR="00EC4D06">
              <w:rPr>
                <w:rFonts w:cs="Arial"/>
                <w:color w:val="000000"/>
                <w:sz w:val="22"/>
                <w:szCs w:val="22"/>
                <w:lang w:eastAsia="en-GB"/>
              </w:rPr>
              <w:t>4</w:t>
            </w:r>
            <w:r w:rsidRPr="003C426F">
              <w:rPr>
                <w:rFonts w:cs="Arial"/>
                <w:color w:val="000000"/>
                <w:sz w:val="22"/>
                <w:szCs w:val="22"/>
                <w:lang w:eastAsia="en-GB"/>
              </w:rPr>
              <w:t>,</w:t>
            </w:r>
            <w:r w:rsidR="00EC4D06">
              <w:rPr>
                <w:rFonts w:cs="Arial"/>
                <w:color w:val="000000"/>
                <w:sz w:val="22"/>
                <w:szCs w:val="22"/>
                <w:lang w:eastAsia="en-GB"/>
              </w:rPr>
              <w:t>180</w:t>
            </w:r>
            <w:r w:rsidRPr="003C426F">
              <w:rPr>
                <w:rFonts w:cs="Arial"/>
                <w:color w:val="000000"/>
                <w:sz w:val="22"/>
                <w:szCs w:val="22"/>
                <w:lang w:eastAsia="en-GB"/>
              </w:rPr>
              <w:t>)</w:t>
            </w:r>
          </w:p>
        </w:tc>
      </w:tr>
      <w:tr w:rsidR="00353BF9" w:rsidRPr="003C426F" w14:paraId="241D4060" w14:textId="77777777" w:rsidTr="004668D0">
        <w:trPr>
          <w:trHeight w:val="288"/>
        </w:trPr>
        <w:tc>
          <w:tcPr>
            <w:tcW w:w="4420" w:type="dxa"/>
            <w:tcBorders>
              <w:bottom w:val="single" w:sz="4" w:space="0" w:color="auto"/>
            </w:tcBorders>
            <w:shd w:val="clear" w:color="auto" w:fill="auto"/>
            <w:noWrap/>
            <w:vAlign w:val="bottom"/>
          </w:tcPr>
          <w:p w14:paraId="64092ADC" w14:textId="77777777" w:rsidR="00353BF9" w:rsidRPr="003C426F" w:rsidRDefault="00353BF9" w:rsidP="00662880">
            <w:pPr>
              <w:rPr>
                <w:rFonts w:cs="Arial"/>
                <w:color w:val="000000"/>
                <w:sz w:val="22"/>
                <w:szCs w:val="22"/>
                <w:lang w:eastAsia="en-GB"/>
              </w:rPr>
            </w:pPr>
            <w:r w:rsidRPr="003C426F">
              <w:rPr>
                <w:rFonts w:cs="Arial"/>
                <w:color w:val="000000"/>
                <w:sz w:val="22"/>
                <w:szCs w:val="22"/>
                <w:lang w:eastAsia="en-GB"/>
              </w:rPr>
              <w:t>Expenditure</w:t>
            </w:r>
          </w:p>
        </w:tc>
        <w:tc>
          <w:tcPr>
            <w:tcW w:w="1240" w:type="dxa"/>
            <w:tcBorders>
              <w:bottom w:val="single" w:sz="4" w:space="0" w:color="auto"/>
            </w:tcBorders>
            <w:shd w:val="clear" w:color="auto" w:fill="auto"/>
            <w:noWrap/>
            <w:vAlign w:val="bottom"/>
          </w:tcPr>
          <w:p w14:paraId="4EBE285E" w14:textId="77777777" w:rsidR="00353BF9" w:rsidRPr="003C426F" w:rsidRDefault="00453999" w:rsidP="00EC4D06">
            <w:pPr>
              <w:jc w:val="right"/>
              <w:rPr>
                <w:sz w:val="22"/>
                <w:szCs w:val="22"/>
                <w:lang w:eastAsia="en-GB"/>
              </w:rPr>
            </w:pPr>
            <w:r w:rsidRPr="003C426F">
              <w:rPr>
                <w:sz w:val="22"/>
                <w:szCs w:val="22"/>
                <w:lang w:eastAsia="en-GB"/>
              </w:rPr>
              <w:t>35,38</w:t>
            </w:r>
            <w:r w:rsidR="00EC4D06">
              <w:rPr>
                <w:sz w:val="22"/>
                <w:szCs w:val="22"/>
                <w:lang w:eastAsia="en-GB"/>
              </w:rPr>
              <w:t>0</w:t>
            </w:r>
          </w:p>
        </w:tc>
        <w:tc>
          <w:tcPr>
            <w:tcW w:w="1240" w:type="dxa"/>
            <w:tcBorders>
              <w:bottom w:val="single" w:sz="4" w:space="0" w:color="auto"/>
            </w:tcBorders>
            <w:shd w:val="clear" w:color="auto" w:fill="auto"/>
            <w:noWrap/>
            <w:vAlign w:val="bottom"/>
          </w:tcPr>
          <w:p w14:paraId="701F6DF2" w14:textId="76FA0A9B" w:rsidR="00353BF9" w:rsidRPr="003C426F" w:rsidRDefault="00453999" w:rsidP="00423B1D">
            <w:pPr>
              <w:jc w:val="right"/>
              <w:rPr>
                <w:sz w:val="22"/>
                <w:szCs w:val="22"/>
                <w:lang w:eastAsia="en-GB"/>
              </w:rPr>
            </w:pPr>
            <w:r w:rsidRPr="003C426F">
              <w:rPr>
                <w:sz w:val="22"/>
                <w:szCs w:val="22"/>
                <w:lang w:eastAsia="en-GB"/>
              </w:rPr>
              <w:t>35,</w:t>
            </w:r>
            <w:r w:rsidR="00EC4D06">
              <w:rPr>
                <w:sz w:val="22"/>
                <w:szCs w:val="22"/>
                <w:lang w:eastAsia="en-GB"/>
              </w:rPr>
              <w:t>72</w:t>
            </w:r>
            <w:r w:rsidR="00423B1D">
              <w:rPr>
                <w:sz w:val="22"/>
                <w:szCs w:val="22"/>
                <w:lang w:eastAsia="en-GB"/>
              </w:rPr>
              <w:t>9</w:t>
            </w:r>
          </w:p>
        </w:tc>
        <w:tc>
          <w:tcPr>
            <w:tcW w:w="1240" w:type="dxa"/>
            <w:tcBorders>
              <w:bottom w:val="single" w:sz="4" w:space="0" w:color="auto"/>
            </w:tcBorders>
            <w:shd w:val="clear" w:color="auto" w:fill="auto"/>
            <w:noWrap/>
            <w:vAlign w:val="bottom"/>
          </w:tcPr>
          <w:p w14:paraId="00C9C7EA" w14:textId="77777777" w:rsidR="00353BF9" w:rsidRPr="003C426F" w:rsidRDefault="00453999" w:rsidP="00EC4D06">
            <w:pPr>
              <w:jc w:val="right"/>
              <w:rPr>
                <w:sz w:val="22"/>
                <w:szCs w:val="22"/>
                <w:lang w:eastAsia="en-GB"/>
              </w:rPr>
            </w:pPr>
            <w:r w:rsidRPr="003C426F">
              <w:rPr>
                <w:sz w:val="22"/>
                <w:szCs w:val="22"/>
                <w:lang w:eastAsia="en-GB"/>
              </w:rPr>
              <w:t>35,</w:t>
            </w:r>
            <w:r w:rsidR="00EC4D06">
              <w:rPr>
                <w:sz w:val="22"/>
                <w:szCs w:val="22"/>
                <w:lang w:eastAsia="en-GB"/>
              </w:rPr>
              <w:t>775</w:t>
            </w:r>
          </w:p>
        </w:tc>
        <w:tc>
          <w:tcPr>
            <w:tcW w:w="1240" w:type="dxa"/>
            <w:tcBorders>
              <w:bottom w:val="single" w:sz="4" w:space="0" w:color="auto"/>
            </w:tcBorders>
            <w:shd w:val="clear" w:color="auto" w:fill="auto"/>
            <w:noWrap/>
            <w:vAlign w:val="bottom"/>
          </w:tcPr>
          <w:p w14:paraId="58071E2B" w14:textId="386EBE53" w:rsidR="00353BF9" w:rsidRPr="003C426F" w:rsidRDefault="00453999" w:rsidP="00423B1D">
            <w:pPr>
              <w:jc w:val="right"/>
              <w:rPr>
                <w:sz w:val="22"/>
                <w:szCs w:val="22"/>
                <w:lang w:eastAsia="en-GB"/>
              </w:rPr>
            </w:pPr>
            <w:r w:rsidRPr="003C426F">
              <w:rPr>
                <w:sz w:val="22"/>
                <w:szCs w:val="22"/>
                <w:lang w:eastAsia="en-GB"/>
              </w:rPr>
              <w:t>3</w:t>
            </w:r>
            <w:r w:rsidR="00EC4D06">
              <w:rPr>
                <w:sz w:val="22"/>
                <w:szCs w:val="22"/>
                <w:lang w:eastAsia="en-GB"/>
              </w:rPr>
              <w:t>7</w:t>
            </w:r>
            <w:r w:rsidRPr="003C426F">
              <w:rPr>
                <w:sz w:val="22"/>
                <w:szCs w:val="22"/>
                <w:lang w:eastAsia="en-GB"/>
              </w:rPr>
              <w:t>,</w:t>
            </w:r>
            <w:r w:rsidR="00EC4D06">
              <w:rPr>
                <w:sz w:val="22"/>
                <w:szCs w:val="22"/>
                <w:lang w:eastAsia="en-GB"/>
              </w:rPr>
              <w:t>11</w:t>
            </w:r>
            <w:r w:rsidR="00423B1D">
              <w:rPr>
                <w:sz w:val="22"/>
                <w:szCs w:val="22"/>
                <w:lang w:eastAsia="en-GB"/>
              </w:rPr>
              <w:t>7</w:t>
            </w:r>
          </w:p>
        </w:tc>
      </w:tr>
      <w:tr w:rsidR="00353BF9" w:rsidRPr="003C426F" w14:paraId="176A1858" w14:textId="77777777" w:rsidTr="004668D0">
        <w:trPr>
          <w:trHeight w:val="288"/>
        </w:trPr>
        <w:tc>
          <w:tcPr>
            <w:tcW w:w="4420" w:type="dxa"/>
            <w:tcBorders>
              <w:top w:val="single" w:sz="4" w:space="0" w:color="auto"/>
              <w:bottom w:val="nil"/>
            </w:tcBorders>
            <w:shd w:val="clear" w:color="auto" w:fill="auto"/>
            <w:noWrap/>
            <w:vAlign w:val="bottom"/>
          </w:tcPr>
          <w:p w14:paraId="113B5F45" w14:textId="77777777" w:rsidR="00353BF9" w:rsidRPr="003C426F" w:rsidRDefault="00353BF9" w:rsidP="00662880">
            <w:pPr>
              <w:rPr>
                <w:rFonts w:cs="Arial"/>
                <w:b/>
                <w:color w:val="000000"/>
                <w:sz w:val="22"/>
                <w:szCs w:val="22"/>
                <w:lang w:eastAsia="en-GB"/>
              </w:rPr>
            </w:pPr>
            <w:r w:rsidRPr="003C426F">
              <w:rPr>
                <w:rFonts w:cs="Arial"/>
                <w:b/>
                <w:color w:val="000000"/>
                <w:sz w:val="22"/>
                <w:szCs w:val="22"/>
                <w:lang w:eastAsia="en-GB"/>
              </w:rPr>
              <w:t>Net Operating Expenditure</w:t>
            </w:r>
          </w:p>
        </w:tc>
        <w:tc>
          <w:tcPr>
            <w:tcW w:w="1240" w:type="dxa"/>
            <w:tcBorders>
              <w:top w:val="single" w:sz="4" w:space="0" w:color="auto"/>
              <w:bottom w:val="nil"/>
            </w:tcBorders>
            <w:shd w:val="clear" w:color="auto" w:fill="auto"/>
            <w:noWrap/>
            <w:vAlign w:val="bottom"/>
          </w:tcPr>
          <w:p w14:paraId="2DC29CFB" w14:textId="77777777" w:rsidR="00353BF9" w:rsidRPr="003C426F" w:rsidRDefault="00453999" w:rsidP="004668D0">
            <w:pPr>
              <w:jc w:val="right"/>
              <w:rPr>
                <w:b/>
                <w:sz w:val="22"/>
                <w:szCs w:val="22"/>
                <w:lang w:eastAsia="en-GB"/>
              </w:rPr>
            </w:pPr>
            <w:r w:rsidRPr="003C426F">
              <w:rPr>
                <w:b/>
                <w:sz w:val="22"/>
                <w:szCs w:val="22"/>
                <w:lang w:eastAsia="en-GB"/>
              </w:rPr>
              <w:t>(8,905)</w:t>
            </w:r>
          </w:p>
        </w:tc>
        <w:tc>
          <w:tcPr>
            <w:tcW w:w="1240" w:type="dxa"/>
            <w:tcBorders>
              <w:top w:val="single" w:sz="4" w:space="0" w:color="auto"/>
              <w:bottom w:val="nil"/>
            </w:tcBorders>
            <w:shd w:val="clear" w:color="auto" w:fill="auto"/>
            <w:noWrap/>
            <w:vAlign w:val="bottom"/>
          </w:tcPr>
          <w:p w14:paraId="1E0D0487" w14:textId="4E74838C" w:rsidR="00353BF9" w:rsidRPr="003C426F" w:rsidRDefault="00453999" w:rsidP="00423B1D">
            <w:pPr>
              <w:jc w:val="right"/>
              <w:rPr>
                <w:b/>
                <w:sz w:val="22"/>
                <w:szCs w:val="22"/>
                <w:lang w:eastAsia="en-GB"/>
              </w:rPr>
            </w:pPr>
            <w:r w:rsidRPr="003C426F">
              <w:rPr>
                <w:b/>
                <w:sz w:val="22"/>
                <w:szCs w:val="22"/>
                <w:lang w:eastAsia="en-GB"/>
              </w:rPr>
              <w:t>(</w:t>
            </w:r>
            <w:r w:rsidR="00EC4D06">
              <w:rPr>
                <w:b/>
                <w:sz w:val="22"/>
                <w:szCs w:val="22"/>
                <w:lang w:eastAsia="en-GB"/>
              </w:rPr>
              <w:t>7</w:t>
            </w:r>
            <w:r w:rsidRPr="003C426F">
              <w:rPr>
                <w:b/>
                <w:sz w:val="22"/>
                <w:szCs w:val="22"/>
                <w:lang w:eastAsia="en-GB"/>
              </w:rPr>
              <w:t>,</w:t>
            </w:r>
            <w:r w:rsidR="00EC4D06">
              <w:rPr>
                <w:b/>
                <w:sz w:val="22"/>
                <w:szCs w:val="22"/>
                <w:lang w:eastAsia="en-GB"/>
              </w:rPr>
              <w:t>58</w:t>
            </w:r>
            <w:r w:rsidR="00423B1D">
              <w:rPr>
                <w:b/>
                <w:sz w:val="22"/>
                <w:szCs w:val="22"/>
                <w:lang w:eastAsia="en-GB"/>
              </w:rPr>
              <w:t>1</w:t>
            </w:r>
            <w:r w:rsidRPr="003C426F">
              <w:rPr>
                <w:b/>
                <w:sz w:val="22"/>
                <w:szCs w:val="22"/>
                <w:lang w:eastAsia="en-GB"/>
              </w:rPr>
              <w:t>)</w:t>
            </w:r>
          </w:p>
        </w:tc>
        <w:tc>
          <w:tcPr>
            <w:tcW w:w="1240" w:type="dxa"/>
            <w:tcBorders>
              <w:top w:val="single" w:sz="4" w:space="0" w:color="auto"/>
              <w:bottom w:val="nil"/>
            </w:tcBorders>
            <w:shd w:val="clear" w:color="auto" w:fill="auto"/>
            <w:noWrap/>
            <w:vAlign w:val="bottom"/>
          </w:tcPr>
          <w:p w14:paraId="7473837C" w14:textId="77777777" w:rsidR="00353BF9" w:rsidRPr="003C426F" w:rsidRDefault="00453999" w:rsidP="00EC4D06">
            <w:pPr>
              <w:jc w:val="right"/>
              <w:rPr>
                <w:b/>
                <w:sz w:val="22"/>
                <w:szCs w:val="22"/>
                <w:lang w:eastAsia="en-GB"/>
              </w:rPr>
            </w:pPr>
            <w:r w:rsidRPr="003C426F">
              <w:rPr>
                <w:b/>
                <w:sz w:val="22"/>
                <w:szCs w:val="22"/>
                <w:lang w:eastAsia="en-GB"/>
              </w:rPr>
              <w:t>(</w:t>
            </w:r>
            <w:r w:rsidR="00EC4D06">
              <w:rPr>
                <w:b/>
                <w:sz w:val="22"/>
                <w:szCs w:val="22"/>
                <w:lang w:eastAsia="en-GB"/>
              </w:rPr>
              <w:t>7</w:t>
            </w:r>
            <w:r w:rsidRPr="003C426F">
              <w:rPr>
                <w:b/>
                <w:sz w:val="22"/>
                <w:szCs w:val="22"/>
                <w:lang w:eastAsia="en-GB"/>
              </w:rPr>
              <w:t>,</w:t>
            </w:r>
            <w:r w:rsidR="00EC4D06">
              <w:rPr>
                <w:b/>
                <w:sz w:val="22"/>
                <w:szCs w:val="22"/>
                <w:lang w:eastAsia="en-GB"/>
              </w:rPr>
              <w:t>799</w:t>
            </w:r>
            <w:r w:rsidRPr="003C426F">
              <w:rPr>
                <w:b/>
                <w:sz w:val="22"/>
                <w:szCs w:val="22"/>
                <w:lang w:eastAsia="en-GB"/>
              </w:rPr>
              <w:t>)</w:t>
            </w:r>
          </w:p>
        </w:tc>
        <w:tc>
          <w:tcPr>
            <w:tcW w:w="1240" w:type="dxa"/>
            <w:tcBorders>
              <w:top w:val="single" w:sz="4" w:space="0" w:color="auto"/>
              <w:bottom w:val="nil"/>
            </w:tcBorders>
            <w:shd w:val="clear" w:color="auto" w:fill="auto"/>
            <w:noWrap/>
            <w:vAlign w:val="bottom"/>
          </w:tcPr>
          <w:p w14:paraId="0E882117" w14:textId="062423F3" w:rsidR="00353BF9" w:rsidRPr="003C426F" w:rsidRDefault="00453999" w:rsidP="00423B1D">
            <w:pPr>
              <w:jc w:val="right"/>
              <w:rPr>
                <w:b/>
                <w:sz w:val="22"/>
                <w:szCs w:val="22"/>
                <w:lang w:eastAsia="en-GB"/>
              </w:rPr>
            </w:pPr>
            <w:r w:rsidRPr="003C426F">
              <w:rPr>
                <w:b/>
                <w:sz w:val="22"/>
                <w:szCs w:val="22"/>
                <w:lang w:eastAsia="en-GB"/>
              </w:rPr>
              <w:t>(</w:t>
            </w:r>
            <w:r w:rsidR="00EC4D06">
              <w:rPr>
                <w:b/>
                <w:sz w:val="22"/>
                <w:szCs w:val="22"/>
                <w:lang w:eastAsia="en-GB"/>
              </w:rPr>
              <w:t>7</w:t>
            </w:r>
            <w:r w:rsidRPr="003C426F">
              <w:rPr>
                <w:b/>
                <w:sz w:val="22"/>
                <w:szCs w:val="22"/>
                <w:lang w:eastAsia="en-GB"/>
              </w:rPr>
              <w:t>,</w:t>
            </w:r>
            <w:r w:rsidR="00EC4D06">
              <w:rPr>
                <w:b/>
                <w:sz w:val="22"/>
                <w:szCs w:val="22"/>
                <w:lang w:eastAsia="en-GB"/>
              </w:rPr>
              <w:t>06</w:t>
            </w:r>
            <w:r w:rsidR="00423B1D">
              <w:rPr>
                <w:b/>
                <w:sz w:val="22"/>
                <w:szCs w:val="22"/>
                <w:lang w:eastAsia="en-GB"/>
              </w:rPr>
              <w:t>3</w:t>
            </w:r>
            <w:r w:rsidRPr="003C426F">
              <w:rPr>
                <w:b/>
                <w:sz w:val="22"/>
                <w:szCs w:val="22"/>
                <w:lang w:eastAsia="en-GB"/>
              </w:rPr>
              <w:t>)</w:t>
            </w:r>
          </w:p>
        </w:tc>
      </w:tr>
      <w:tr w:rsidR="00353BF9" w:rsidRPr="003C426F" w14:paraId="36CD696C" w14:textId="77777777" w:rsidTr="004668D0">
        <w:trPr>
          <w:trHeight w:val="288"/>
        </w:trPr>
        <w:tc>
          <w:tcPr>
            <w:tcW w:w="4420" w:type="dxa"/>
            <w:tcBorders>
              <w:top w:val="nil"/>
            </w:tcBorders>
            <w:shd w:val="clear" w:color="auto" w:fill="auto"/>
            <w:noWrap/>
            <w:vAlign w:val="bottom"/>
          </w:tcPr>
          <w:p w14:paraId="5C34A928" w14:textId="77777777" w:rsidR="00353BF9" w:rsidRPr="003C426F" w:rsidRDefault="00353BF9" w:rsidP="00662880">
            <w:pPr>
              <w:rPr>
                <w:rFonts w:cs="Arial"/>
                <w:color w:val="000000"/>
                <w:sz w:val="22"/>
                <w:szCs w:val="22"/>
                <w:lang w:eastAsia="en-GB"/>
              </w:rPr>
            </w:pPr>
            <w:r w:rsidRPr="003C426F">
              <w:rPr>
                <w:rFonts w:cs="Arial"/>
                <w:color w:val="000000"/>
                <w:sz w:val="22"/>
                <w:szCs w:val="22"/>
                <w:lang w:eastAsia="en-GB"/>
              </w:rPr>
              <w:t>Appropriations</w:t>
            </w:r>
          </w:p>
        </w:tc>
        <w:tc>
          <w:tcPr>
            <w:tcW w:w="1240" w:type="dxa"/>
            <w:tcBorders>
              <w:top w:val="nil"/>
            </w:tcBorders>
            <w:shd w:val="clear" w:color="auto" w:fill="auto"/>
            <w:noWrap/>
            <w:vAlign w:val="bottom"/>
          </w:tcPr>
          <w:p w14:paraId="6B4A3E6B" w14:textId="77777777" w:rsidR="00353BF9" w:rsidRPr="003C426F" w:rsidRDefault="00453999" w:rsidP="00C011FC">
            <w:pPr>
              <w:jc w:val="right"/>
              <w:rPr>
                <w:sz w:val="22"/>
                <w:szCs w:val="22"/>
                <w:lang w:eastAsia="en-GB"/>
              </w:rPr>
            </w:pPr>
            <w:r w:rsidRPr="003C426F">
              <w:rPr>
                <w:sz w:val="22"/>
                <w:szCs w:val="22"/>
                <w:lang w:eastAsia="en-GB"/>
              </w:rPr>
              <w:t>3,062</w:t>
            </w:r>
          </w:p>
        </w:tc>
        <w:tc>
          <w:tcPr>
            <w:tcW w:w="1240" w:type="dxa"/>
            <w:tcBorders>
              <w:top w:val="nil"/>
            </w:tcBorders>
            <w:shd w:val="clear" w:color="auto" w:fill="auto"/>
            <w:noWrap/>
            <w:vAlign w:val="bottom"/>
          </w:tcPr>
          <w:p w14:paraId="1A497560" w14:textId="77777777" w:rsidR="00353BF9" w:rsidRPr="003C426F" w:rsidRDefault="00453999" w:rsidP="00EC4D06">
            <w:pPr>
              <w:jc w:val="right"/>
              <w:rPr>
                <w:sz w:val="22"/>
                <w:szCs w:val="22"/>
                <w:lang w:eastAsia="en-GB"/>
              </w:rPr>
            </w:pPr>
            <w:r w:rsidRPr="003C426F">
              <w:rPr>
                <w:sz w:val="22"/>
                <w:szCs w:val="22"/>
                <w:lang w:eastAsia="en-GB"/>
              </w:rPr>
              <w:t>9,</w:t>
            </w:r>
            <w:r w:rsidR="00EC4D06">
              <w:rPr>
                <w:sz w:val="22"/>
                <w:szCs w:val="22"/>
                <w:lang w:eastAsia="en-GB"/>
              </w:rPr>
              <w:t>890</w:t>
            </w:r>
          </w:p>
        </w:tc>
        <w:tc>
          <w:tcPr>
            <w:tcW w:w="1240" w:type="dxa"/>
            <w:tcBorders>
              <w:top w:val="nil"/>
            </w:tcBorders>
            <w:shd w:val="clear" w:color="auto" w:fill="auto"/>
            <w:noWrap/>
            <w:vAlign w:val="bottom"/>
          </w:tcPr>
          <w:p w14:paraId="0F28A9F0" w14:textId="77777777" w:rsidR="00353BF9" w:rsidRPr="003C426F" w:rsidRDefault="00453999" w:rsidP="00EC4D06">
            <w:pPr>
              <w:jc w:val="right"/>
              <w:rPr>
                <w:sz w:val="22"/>
                <w:szCs w:val="22"/>
                <w:lang w:eastAsia="en-GB"/>
              </w:rPr>
            </w:pPr>
            <w:r w:rsidRPr="003C426F">
              <w:rPr>
                <w:sz w:val="22"/>
                <w:szCs w:val="22"/>
                <w:lang w:eastAsia="en-GB"/>
              </w:rPr>
              <w:t>9,</w:t>
            </w:r>
            <w:r w:rsidR="00EC4D06">
              <w:rPr>
                <w:sz w:val="22"/>
                <w:szCs w:val="22"/>
                <w:lang w:eastAsia="en-GB"/>
              </w:rPr>
              <w:t>549</w:t>
            </w:r>
          </w:p>
        </w:tc>
        <w:tc>
          <w:tcPr>
            <w:tcW w:w="1240" w:type="dxa"/>
            <w:tcBorders>
              <w:top w:val="nil"/>
            </w:tcBorders>
            <w:shd w:val="clear" w:color="auto" w:fill="auto"/>
            <w:noWrap/>
            <w:vAlign w:val="bottom"/>
          </w:tcPr>
          <w:p w14:paraId="260C094C" w14:textId="77777777" w:rsidR="00353BF9" w:rsidRPr="003C426F" w:rsidRDefault="00453999" w:rsidP="00EC4D06">
            <w:pPr>
              <w:jc w:val="right"/>
              <w:rPr>
                <w:sz w:val="22"/>
                <w:szCs w:val="22"/>
                <w:lang w:eastAsia="en-GB"/>
              </w:rPr>
            </w:pPr>
            <w:r w:rsidRPr="003C426F">
              <w:rPr>
                <w:sz w:val="22"/>
                <w:szCs w:val="22"/>
                <w:lang w:eastAsia="en-GB"/>
              </w:rPr>
              <w:t>8,</w:t>
            </w:r>
            <w:r w:rsidR="00EC4D06">
              <w:rPr>
                <w:sz w:val="22"/>
                <w:szCs w:val="22"/>
                <w:lang w:eastAsia="en-GB"/>
              </w:rPr>
              <w:t>825</w:t>
            </w:r>
          </w:p>
        </w:tc>
      </w:tr>
      <w:tr w:rsidR="00353BF9" w:rsidRPr="003C426F" w14:paraId="3CA3CB29" w14:textId="77777777" w:rsidTr="00353BF9">
        <w:trPr>
          <w:trHeight w:val="288"/>
        </w:trPr>
        <w:tc>
          <w:tcPr>
            <w:tcW w:w="4420" w:type="dxa"/>
            <w:shd w:val="clear" w:color="auto" w:fill="auto"/>
            <w:noWrap/>
            <w:vAlign w:val="bottom"/>
          </w:tcPr>
          <w:p w14:paraId="015232A6" w14:textId="77777777" w:rsidR="00353BF9" w:rsidRPr="003C426F" w:rsidRDefault="00353BF9" w:rsidP="00662880">
            <w:pPr>
              <w:rPr>
                <w:rFonts w:cs="Arial"/>
                <w:color w:val="000000"/>
                <w:sz w:val="22"/>
                <w:szCs w:val="22"/>
                <w:lang w:eastAsia="en-GB"/>
              </w:rPr>
            </w:pPr>
          </w:p>
        </w:tc>
        <w:tc>
          <w:tcPr>
            <w:tcW w:w="1240" w:type="dxa"/>
            <w:shd w:val="clear" w:color="auto" w:fill="auto"/>
            <w:noWrap/>
            <w:vAlign w:val="bottom"/>
          </w:tcPr>
          <w:p w14:paraId="496DB8AF" w14:textId="77777777" w:rsidR="00353BF9" w:rsidRPr="003C426F" w:rsidRDefault="00353BF9" w:rsidP="00353BF9">
            <w:pPr>
              <w:jc w:val="right"/>
              <w:rPr>
                <w:sz w:val="22"/>
                <w:szCs w:val="22"/>
                <w:lang w:eastAsia="en-GB"/>
              </w:rPr>
            </w:pPr>
          </w:p>
        </w:tc>
        <w:tc>
          <w:tcPr>
            <w:tcW w:w="1240" w:type="dxa"/>
            <w:shd w:val="clear" w:color="auto" w:fill="auto"/>
            <w:noWrap/>
            <w:vAlign w:val="bottom"/>
          </w:tcPr>
          <w:p w14:paraId="1152FC20" w14:textId="77777777" w:rsidR="00353BF9" w:rsidRPr="003C426F" w:rsidRDefault="00353BF9" w:rsidP="00353BF9">
            <w:pPr>
              <w:jc w:val="right"/>
              <w:rPr>
                <w:sz w:val="22"/>
                <w:szCs w:val="22"/>
                <w:lang w:eastAsia="en-GB"/>
              </w:rPr>
            </w:pPr>
          </w:p>
        </w:tc>
        <w:tc>
          <w:tcPr>
            <w:tcW w:w="1240" w:type="dxa"/>
            <w:shd w:val="clear" w:color="auto" w:fill="auto"/>
            <w:noWrap/>
            <w:vAlign w:val="bottom"/>
          </w:tcPr>
          <w:p w14:paraId="379F21CE" w14:textId="77777777" w:rsidR="00353BF9" w:rsidRPr="003C426F" w:rsidRDefault="00353BF9" w:rsidP="00353BF9">
            <w:pPr>
              <w:jc w:val="right"/>
              <w:rPr>
                <w:sz w:val="22"/>
                <w:szCs w:val="22"/>
                <w:lang w:eastAsia="en-GB"/>
              </w:rPr>
            </w:pPr>
          </w:p>
        </w:tc>
        <w:tc>
          <w:tcPr>
            <w:tcW w:w="1240" w:type="dxa"/>
            <w:shd w:val="clear" w:color="auto" w:fill="auto"/>
            <w:noWrap/>
            <w:vAlign w:val="bottom"/>
          </w:tcPr>
          <w:p w14:paraId="6EE0AEEE" w14:textId="77777777" w:rsidR="00353BF9" w:rsidRPr="003C426F" w:rsidRDefault="00353BF9" w:rsidP="00353BF9">
            <w:pPr>
              <w:jc w:val="right"/>
              <w:rPr>
                <w:sz w:val="22"/>
                <w:szCs w:val="22"/>
                <w:lang w:eastAsia="en-GB"/>
              </w:rPr>
            </w:pPr>
          </w:p>
        </w:tc>
      </w:tr>
      <w:tr w:rsidR="00353BF9" w:rsidRPr="003C426F" w14:paraId="790B0CBD" w14:textId="77777777" w:rsidTr="00353BF9">
        <w:trPr>
          <w:trHeight w:val="288"/>
        </w:trPr>
        <w:tc>
          <w:tcPr>
            <w:tcW w:w="4420" w:type="dxa"/>
            <w:shd w:val="clear" w:color="auto" w:fill="auto"/>
            <w:noWrap/>
            <w:vAlign w:val="bottom"/>
          </w:tcPr>
          <w:p w14:paraId="72B5B08B" w14:textId="77777777" w:rsidR="00353BF9" w:rsidRPr="00423B1D" w:rsidRDefault="00C14C2A" w:rsidP="00662880">
            <w:pPr>
              <w:rPr>
                <w:rFonts w:cs="Arial"/>
                <w:b/>
                <w:color w:val="000000"/>
                <w:sz w:val="22"/>
                <w:szCs w:val="22"/>
                <w:lang w:eastAsia="en-GB"/>
              </w:rPr>
            </w:pPr>
            <w:r w:rsidRPr="00423B1D">
              <w:rPr>
                <w:rFonts w:cs="Arial"/>
                <w:b/>
                <w:color w:val="000000"/>
                <w:sz w:val="22"/>
                <w:szCs w:val="22"/>
                <w:lang w:eastAsia="en-GB"/>
              </w:rPr>
              <w:t>(Surplus)/Deficit for the Year</w:t>
            </w:r>
          </w:p>
        </w:tc>
        <w:tc>
          <w:tcPr>
            <w:tcW w:w="1240" w:type="dxa"/>
            <w:shd w:val="clear" w:color="auto" w:fill="auto"/>
            <w:noWrap/>
            <w:vAlign w:val="bottom"/>
          </w:tcPr>
          <w:p w14:paraId="3F42BDBB" w14:textId="77777777" w:rsidR="00353BF9" w:rsidRPr="00423B1D" w:rsidRDefault="00453999" w:rsidP="00C011FC">
            <w:pPr>
              <w:jc w:val="right"/>
              <w:rPr>
                <w:b/>
                <w:sz w:val="22"/>
                <w:szCs w:val="22"/>
                <w:lang w:eastAsia="en-GB"/>
              </w:rPr>
            </w:pPr>
            <w:r w:rsidRPr="00423B1D">
              <w:rPr>
                <w:b/>
                <w:sz w:val="22"/>
                <w:szCs w:val="22"/>
                <w:lang w:eastAsia="en-GB"/>
              </w:rPr>
              <w:t>(5,843)</w:t>
            </w:r>
          </w:p>
        </w:tc>
        <w:tc>
          <w:tcPr>
            <w:tcW w:w="1240" w:type="dxa"/>
            <w:shd w:val="clear" w:color="auto" w:fill="auto"/>
            <w:noWrap/>
            <w:vAlign w:val="bottom"/>
          </w:tcPr>
          <w:p w14:paraId="7E7584DF" w14:textId="588B7325" w:rsidR="00353BF9" w:rsidRPr="00423B1D" w:rsidRDefault="00EC4D06" w:rsidP="00423B1D">
            <w:pPr>
              <w:jc w:val="right"/>
              <w:rPr>
                <w:b/>
                <w:sz w:val="22"/>
                <w:szCs w:val="22"/>
                <w:lang w:eastAsia="en-GB"/>
              </w:rPr>
            </w:pPr>
            <w:r w:rsidRPr="00423B1D">
              <w:rPr>
                <w:b/>
                <w:sz w:val="22"/>
                <w:szCs w:val="22"/>
                <w:lang w:eastAsia="en-GB"/>
              </w:rPr>
              <w:t>2</w:t>
            </w:r>
            <w:r w:rsidR="00453999" w:rsidRPr="00423B1D">
              <w:rPr>
                <w:b/>
                <w:sz w:val="22"/>
                <w:szCs w:val="22"/>
                <w:lang w:eastAsia="en-GB"/>
              </w:rPr>
              <w:t>,</w:t>
            </w:r>
            <w:r w:rsidRPr="00423B1D">
              <w:rPr>
                <w:b/>
                <w:sz w:val="22"/>
                <w:szCs w:val="22"/>
                <w:lang w:eastAsia="en-GB"/>
              </w:rPr>
              <w:t>30</w:t>
            </w:r>
            <w:r w:rsidR="00423B1D">
              <w:rPr>
                <w:b/>
                <w:sz w:val="22"/>
                <w:szCs w:val="22"/>
                <w:lang w:eastAsia="en-GB"/>
              </w:rPr>
              <w:t>9</w:t>
            </w:r>
          </w:p>
        </w:tc>
        <w:tc>
          <w:tcPr>
            <w:tcW w:w="1240" w:type="dxa"/>
            <w:shd w:val="clear" w:color="auto" w:fill="auto"/>
            <w:noWrap/>
            <w:vAlign w:val="bottom"/>
          </w:tcPr>
          <w:p w14:paraId="7D776C53" w14:textId="77777777" w:rsidR="00353BF9" w:rsidRPr="00423B1D" w:rsidRDefault="00EC4D06" w:rsidP="00EC4D06">
            <w:pPr>
              <w:jc w:val="right"/>
              <w:rPr>
                <w:b/>
                <w:sz w:val="22"/>
                <w:szCs w:val="22"/>
                <w:lang w:eastAsia="en-GB"/>
              </w:rPr>
            </w:pPr>
            <w:r w:rsidRPr="00423B1D">
              <w:rPr>
                <w:b/>
                <w:sz w:val="22"/>
                <w:szCs w:val="22"/>
                <w:lang w:eastAsia="en-GB"/>
              </w:rPr>
              <w:t>1,750</w:t>
            </w:r>
          </w:p>
        </w:tc>
        <w:tc>
          <w:tcPr>
            <w:tcW w:w="1240" w:type="dxa"/>
            <w:shd w:val="clear" w:color="auto" w:fill="auto"/>
            <w:noWrap/>
            <w:vAlign w:val="bottom"/>
          </w:tcPr>
          <w:p w14:paraId="69839C2B" w14:textId="661AE40A" w:rsidR="00353BF9" w:rsidRPr="00423B1D" w:rsidRDefault="00EC4D06" w:rsidP="00423B1D">
            <w:pPr>
              <w:jc w:val="right"/>
              <w:rPr>
                <w:b/>
                <w:sz w:val="22"/>
                <w:szCs w:val="22"/>
                <w:lang w:eastAsia="en-GB"/>
              </w:rPr>
            </w:pPr>
            <w:r w:rsidRPr="00423B1D">
              <w:rPr>
                <w:b/>
                <w:sz w:val="22"/>
                <w:szCs w:val="22"/>
                <w:lang w:eastAsia="en-GB"/>
              </w:rPr>
              <w:t>1,76</w:t>
            </w:r>
            <w:r w:rsidR="00423B1D">
              <w:rPr>
                <w:b/>
                <w:sz w:val="22"/>
                <w:szCs w:val="22"/>
                <w:lang w:eastAsia="en-GB"/>
              </w:rPr>
              <w:t>2</w:t>
            </w:r>
          </w:p>
        </w:tc>
      </w:tr>
      <w:tr w:rsidR="00353BF9" w:rsidRPr="003C426F" w14:paraId="178CCD3F" w14:textId="77777777" w:rsidTr="00353BF9">
        <w:trPr>
          <w:trHeight w:val="288"/>
        </w:trPr>
        <w:tc>
          <w:tcPr>
            <w:tcW w:w="4420" w:type="dxa"/>
            <w:shd w:val="clear" w:color="auto" w:fill="auto"/>
            <w:noWrap/>
            <w:vAlign w:val="bottom"/>
          </w:tcPr>
          <w:p w14:paraId="37F496D0" w14:textId="77777777" w:rsidR="00353BF9" w:rsidRPr="003C426F" w:rsidRDefault="00353BF9" w:rsidP="00662880">
            <w:pPr>
              <w:rPr>
                <w:rFonts w:cs="Arial"/>
                <w:color w:val="000000"/>
                <w:sz w:val="22"/>
                <w:szCs w:val="22"/>
                <w:lang w:eastAsia="en-GB"/>
              </w:rPr>
            </w:pPr>
          </w:p>
        </w:tc>
        <w:tc>
          <w:tcPr>
            <w:tcW w:w="1240" w:type="dxa"/>
            <w:shd w:val="clear" w:color="auto" w:fill="auto"/>
            <w:noWrap/>
            <w:vAlign w:val="bottom"/>
          </w:tcPr>
          <w:p w14:paraId="3D4A6F9F" w14:textId="77777777" w:rsidR="00353BF9" w:rsidRPr="003C426F" w:rsidRDefault="00353BF9" w:rsidP="00353BF9">
            <w:pPr>
              <w:jc w:val="right"/>
              <w:rPr>
                <w:sz w:val="22"/>
                <w:szCs w:val="22"/>
                <w:lang w:eastAsia="en-GB"/>
              </w:rPr>
            </w:pPr>
          </w:p>
        </w:tc>
        <w:tc>
          <w:tcPr>
            <w:tcW w:w="1240" w:type="dxa"/>
            <w:shd w:val="clear" w:color="auto" w:fill="auto"/>
            <w:noWrap/>
            <w:vAlign w:val="bottom"/>
          </w:tcPr>
          <w:p w14:paraId="6BA8FA3B" w14:textId="77777777" w:rsidR="00353BF9" w:rsidRPr="003C426F" w:rsidRDefault="00353BF9" w:rsidP="00353BF9">
            <w:pPr>
              <w:jc w:val="right"/>
              <w:rPr>
                <w:sz w:val="22"/>
                <w:szCs w:val="22"/>
                <w:lang w:eastAsia="en-GB"/>
              </w:rPr>
            </w:pPr>
          </w:p>
        </w:tc>
        <w:tc>
          <w:tcPr>
            <w:tcW w:w="1240" w:type="dxa"/>
            <w:shd w:val="clear" w:color="auto" w:fill="auto"/>
            <w:noWrap/>
            <w:vAlign w:val="bottom"/>
          </w:tcPr>
          <w:p w14:paraId="4C94909C" w14:textId="77777777" w:rsidR="00353BF9" w:rsidRPr="003C426F" w:rsidRDefault="00353BF9" w:rsidP="00353BF9">
            <w:pPr>
              <w:jc w:val="right"/>
              <w:rPr>
                <w:sz w:val="22"/>
                <w:szCs w:val="22"/>
                <w:lang w:eastAsia="en-GB"/>
              </w:rPr>
            </w:pPr>
          </w:p>
        </w:tc>
        <w:tc>
          <w:tcPr>
            <w:tcW w:w="1240" w:type="dxa"/>
            <w:shd w:val="clear" w:color="auto" w:fill="auto"/>
            <w:noWrap/>
            <w:vAlign w:val="bottom"/>
          </w:tcPr>
          <w:p w14:paraId="7A7C8F27" w14:textId="77777777" w:rsidR="00353BF9" w:rsidRPr="003C426F" w:rsidRDefault="00353BF9" w:rsidP="00353BF9">
            <w:pPr>
              <w:jc w:val="right"/>
              <w:rPr>
                <w:sz w:val="22"/>
                <w:szCs w:val="22"/>
                <w:lang w:eastAsia="en-GB"/>
              </w:rPr>
            </w:pPr>
          </w:p>
        </w:tc>
      </w:tr>
      <w:tr w:rsidR="00353BF9" w:rsidRPr="003C426F" w14:paraId="3F31D862" w14:textId="77777777" w:rsidTr="00353BF9">
        <w:trPr>
          <w:trHeight w:val="288"/>
        </w:trPr>
        <w:tc>
          <w:tcPr>
            <w:tcW w:w="4420" w:type="dxa"/>
            <w:shd w:val="clear" w:color="auto" w:fill="auto"/>
            <w:noWrap/>
            <w:vAlign w:val="bottom"/>
          </w:tcPr>
          <w:p w14:paraId="0FAAA9F4" w14:textId="77777777" w:rsidR="00353BF9" w:rsidRPr="003C426F" w:rsidRDefault="00C14C2A" w:rsidP="00662880">
            <w:pPr>
              <w:rPr>
                <w:rFonts w:cs="Arial"/>
                <w:color w:val="000000"/>
                <w:sz w:val="22"/>
                <w:szCs w:val="22"/>
                <w:lang w:eastAsia="en-GB"/>
              </w:rPr>
            </w:pPr>
            <w:r w:rsidRPr="003C426F">
              <w:rPr>
                <w:rFonts w:cs="Arial"/>
                <w:color w:val="000000"/>
                <w:sz w:val="22"/>
                <w:szCs w:val="22"/>
                <w:lang w:eastAsia="en-GB"/>
              </w:rPr>
              <w:t>(Surplus)/Deficit b/</w:t>
            </w:r>
            <w:proofErr w:type="spellStart"/>
            <w:r w:rsidRPr="003C426F">
              <w:rPr>
                <w:rFonts w:cs="Arial"/>
                <w:color w:val="000000"/>
                <w:sz w:val="22"/>
                <w:szCs w:val="22"/>
                <w:lang w:eastAsia="en-GB"/>
              </w:rPr>
              <w:t>fwd</w:t>
            </w:r>
            <w:proofErr w:type="spellEnd"/>
          </w:p>
        </w:tc>
        <w:tc>
          <w:tcPr>
            <w:tcW w:w="1240" w:type="dxa"/>
            <w:shd w:val="clear" w:color="auto" w:fill="auto"/>
            <w:noWrap/>
            <w:vAlign w:val="bottom"/>
          </w:tcPr>
          <w:p w14:paraId="2146B4BC" w14:textId="77777777" w:rsidR="00353BF9" w:rsidRPr="003C426F" w:rsidRDefault="00453999" w:rsidP="00C011FC">
            <w:pPr>
              <w:jc w:val="right"/>
              <w:rPr>
                <w:sz w:val="22"/>
                <w:szCs w:val="22"/>
                <w:lang w:eastAsia="en-GB"/>
              </w:rPr>
            </w:pPr>
            <w:r w:rsidRPr="003C426F">
              <w:rPr>
                <w:sz w:val="22"/>
                <w:szCs w:val="22"/>
                <w:lang w:eastAsia="en-GB"/>
              </w:rPr>
              <w:t>(5,537)</w:t>
            </w:r>
          </w:p>
        </w:tc>
        <w:tc>
          <w:tcPr>
            <w:tcW w:w="1240" w:type="dxa"/>
            <w:shd w:val="clear" w:color="auto" w:fill="auto"/>
            <w:noWrap/>
            <w:vAlign w:val="bottom"/>
          </w:tcPr>
          <w:p w14:paraId="30904187" w14:textId="7387480C" w:rsidR="00353BF9" w:rsidRPr="003C426F" w:rsidRDefault="00453999" w:rsidP="00423B1D">
            <w:pPr>
              <w:jc w:val="right"/>
              <w:rPr>
                <w:sz w:val="22"/>
                <w:szCs w:val="22"/>
                <w:lang w:eastAsia="en-GB"/>
              </w:rPr>
            </w:pPr>
            <w:r w:rsidRPr="003C426F">
              <w:rPr>
                <w:sz w:val="22"/>
                <w:szCs w:val="22"/>
                <w:lang w:eastAsia="en-GB"/>
              </w:rPr>
              <w:t>(11,45</w:t>
            </w:r>
            <w:r w:rsidR="00423B1D">
              <w:rPr>
                <w:sz w:val="22"/>
                <w:szCs w:val="22"/>
                <w:lang w:eastAsia="en-GB"/>
              </w:rPr>
              <w:t>7</w:t>
            </w:r>
            <w:r w:rsidRPr="003C426F">
              <w:rPr>
                <w:sz w:val="22"/>
                <w:szCs w:val="22"/>
                <w:lang w:eastAsia="en-GB"/>
              </w:rPr>
              <w:t>)</w:t>
            </w:r>
          </w:p>
        </w:tc>
        <w:tc>
          <w:tcPr>
            <w:tcW w:w="1240" w:type="dxa"/>
            <w:shd w:val="clear" w:color="auto" w:fill="auto"/>
            <w:noWrap/>
            <w:vAlign w:val="bottom"/>
          </w:tcPr>
          <w:p w14:paraId="292E987C" w14:textId="77777777" w:rsidR="00353BF9" w:rsidRPr="003C426F" w:rsidRDefault="00453999" w:rsidP="00EC4D06">
            <w:pPr>
              <w:jc w:val="right"/>
              <w:rPr>
                <w:sz w:val="22"/>
                <w:szCs w:val="22"/>
                <w:lang w:eastAsia="en-GB"/>
              </w:rPr>
            </w:pPr>
            <w:r w:rsidRPr="003C426F">
              <w:rPr>
                <w:sz w:val="22"/>
                <w:szCs w:val="22"/>
                <w:lang w:eastAsia="en-GB"/>
              </w:rPr>
              <w:t>(</w:t>
            </w:r>
            <w:r w:rsidR="00EC4D06">
              <w:rPr>
                <w:sz w:val="22"/>
                <w:szCs w:val="22"/>
                <w:lang w:eastAsia="en-GB"/>
              </w:rPr>
              <w:t>9,210</w:t>
            </w:r>
            <w:r w:rsidRPr="003C426F">
              <w:rPr>
                <w:sz w:val="22"/>
                <w:szCs w:val="22"/>
                <w:lang w:eastAsia="en-GB"/>
              </w:rPr>
              <w:t>)</w:t>
            </w:r>
          </w:p>
        </w:tc>
        <w:tc>
          <w:tcPr>
            <w:tcW w:w="1240" w:type="dxa"/>
            <w:shd w:val="clear" w:color="auto" w:fill="auto"/>
            <w:noWrap/>
            <w:vAlign w:val="bottom"/>
          </w:tcPr>
          <w:p w14:paraId="7B9C889D" w14:textId="06B3C42A" w:rsidR="00353BF9" w:rsidRPr="003C426F" w:rsidRDefault="00453999" w:rsidP="00423B1D">
            <w:pPr>
              <w:jc w:val="right"/>
              <w:rPr>
                <w:sz w:val="22"/>
                <w:szCs w:val="22"/>
                <w:lang w:eastAsia="en-GB"/>
              </w:rPr>
            </w:pPr>
            <w:r w:rsidRPr="003C426F">
              <w:rPr>
                <w:sz w:val="22"/>
                <w:szCs w:val="22"/>
                <w:lang w:eastAsia="en-GB"/>
              </w:rPr>
              <w:t>(</w:t>
            </w:r>
            <w:r w:rsidR="00EC4D06">
              <w:rPr>
                <w:sz w:val="22"/>
                <w:szCs w:val="22"/>
                <w:lang w:eastAsia="en-GB"/>
              </w:rPr>
              <w:t>7</w:t>
            </w:r>
            <w:r w:rsidRPr="003C426F">
              <w:rPr>
                <w:sz w:val="22"/>
                <w:szCs w:val="22"/>
                <w:lang w:eastAsia="en-GB"/>
              </w:rPr>
              <w:t>,</w:t>
            </w:r>
            <w:r w:rsidR="00EC4D06">
              <w:rPr>
                <w:sz w:val="22"/>
                <w:szCs w:val="22"/>
                <w:lang w:eastAsia="en-GB"/>
              </w:rPr>
              <w:t>5</w:t>
            </w:r>
            <w:r w:rsidRPr="003C426F">
              <w:rPr>
                <w:sz w:val="22"/>
                <w:szCs w:val="22"/>
                <w:lang w:eastAsia="en-GB"/>
              </w:rPr>
              <w:t>2</w:t>
            </w:r>
            <w:r w:rsidR="00423B1D">
              <w:rPr>
                <w:sz w:val="22"/>
                <w:szCs w:val="22"/>
                <w:lang w:eastAsia="en-GB"/>
              </w:rPr>
              <w:t>1</w:t>
            </w:r>
            <w:r w:rsidRPr="003C426F">
              <w:rPr>
                <w:sz w:val="22"/>
                <w:szCs w:val="22"/>
                <w:lang w:eastAsia="en-GB"/>
              </w:rPr>
              <w:t>)</w:t>
            </w:r>
          </w:p>
        </w:tc>
      </w:tr>
      <w:tr w:rsidR="00C14C2A" w:rsidRPr="003C426F" w14:paraId="44722C50" w14:textId="77777777" w:rsidTr="00353BF9">
        <w:trPr>
          <w:trHeight w:val="288"/>
        </w:trPr>
        <w:tc>
          <w:tcPr>
            <w:tcW w:w="4420" w:type="dxa"/>
            <w:shd w:val="clear" w:color="auto" w:fill="auto"/>
            <w:noWrap/>
            <w:vAlign w:val="bottom"/>
          </w:tcPr>
          <w:p w14:paraId="7647106C" w14:textId="77777777" w:rsidR="00C14C2A" w:rsidRPr="003C426F" w:rsidRDefault="00C14C2A" w:rsidP="00662880">
            <w:pPr>
              <w:rPr>
                <w:rFonts w:cs="Arial"/>
                <w:color w:val="000000"/>
                <w:sz w:val="22"/>
                <w:szCs w:val="22"/>
                <w:lang w:eastAsia="en-GB"/>
              </w:rPr>
            </w:pPr>
          </w:p>
        </w:tc>
        <w:tc>
          <w:tcPr>
            <w:tcW w:w="1240" w:type="dxa"/>
            <w:shd w:val="clear" w:color="auto" w:fill="auto"/>
            <w:noWrap/>
            <w:vAlign w:val="bottom"/>
          </w:tcPr>
          <w:p w14:paraId="1F4E03DC" w14:textId="77777777" w:rsidR="00C14C2A" w:rsidRPr="003C426F" w:rsidRDefault="00C14C2A" w:rsidP="00353BF9">
            <w:pPr>
              <w:jc w:val="right"/>
              <w:rPr>
                <w:sz w:val="22"/>
                <w:szCs w:val="22"/>
                <w:lang w:eastAsia="en-GB"/>
              </w:rPr>
            </w:pPr>
          </w:p>
        </w:tc>
        <w:tc>
          <w:tcPr>
            <w:tcW w:w="1240" w:type="dxa"/>
            <w:shd w:val="clear" w:color="auto" w:fill="auto"/>
            <w:noWrap/>
            <w:vAlign w:val="bottom"/>
          </w:tcPr>
          <w:p w14:paraId="0EF6D5E2" w14:textId="77777777" w:rsidR="00C14C2A" w:rsidRPr="003C426F" w:rsidRDefault="00C14C2A" w:rsidP="00353BF9">
            <w:pPr>
              <w:jc w:val="right"/>
              <w:rPr>
                <w:sz w:val="22"/>
                <w:szCs w:val="22"/>
                <w:lang w:eastAsia="en-GB"/>
              </w:rPr>
            </w:pPr>
          </w:p>
        </w:tc>
        <w:tc>
          <w:tcPr>
            <w:tcW w:w="1240" w:type="dxa"/>
            <w:shd w:val="clear" w:color="auto" w:fill="auto"/>
            <w:noWrap/>
            <w:vAlign w:val="bottom"/>
          </w:tcPr>
          <w:p w14:paraId="2E77F31A" w14:textId="77777777" w:rsidR="00C14C2A" w:rsidRPr="003C426F" w:rsidRDefault="00C14C2A" w:rsidP="00353BF9">
            <w:pPr>
              <w:jc w:val="right"/>
              <w:rPr>
                <w:sz w:val="22"/>
                <w:szCs w:val="22"/>
                <w:lang w:eastAsia="en-GB"/>
              </w:rPr>
            </w:pPr>
          </w:p>
        </w:tc>
        <w:tc>
          <w:tcPr>
            <w:tcW w:w="1240" w:type="dxa"/>
            <w:shd w:val="clear" w:color="auto" w:fill="auto"/>
            <w:noWrap/>
            <w:vAlign w:val="bottom"/>
          </w:tcPr>
          <w:p w14:paraId="4AB60888" w14:textId="77777777" w:rsidR="00C14C2A" w:rsidRPr="003C426F" w:rsidRDefault="00C14C2A" w:rsidP="00353BF9">
            <w:pPr>
              <w:jc w:val="right"/>
              <w:rPr>
                <w:sz w:val="22"/>
                <w:szCs w:val="22"/>
                <w:lang w:eastAsia="en-GB"/>
              </w:rPr>
            </w:pPr>
          </w:p>
        </w:tc>
      </w:tr>
      <w:tr w:rsidR="00C14C2A" w:rsidRPr="003C426F" w14:paraId="3D048689" w14:textId="77777777" w:rsidTr="00353BF9">
        <w:trPr>
          <w:trHeight w:val="288"/>
        </w:trPr>
        <w:tc>
          <w:tcPr>
            <w:tcW w:w="4420" w:type="dxa"/>
            <w:shd w:val="clear" w:color="auto" w:fill="auto"/>
            <w:noWrap/>
            <w:vAlign w:val="bottom"/>
          </w:tcPr>
          <w:p w14:paraId="6B1AC9E8" w14:textId="77777777" w:rsidR="00C14C2A" w:rsidRPr="003C426F" w:rsidRDefault="00C14C2A" w:rsidP="00662880">
            <w:pPr>
              <w:rPr>
                <w:rFonts w:cs="Arial"/>
                <w:color w:val="000000"/>
                <w:sz w:val="22"/>
                <w:szCs w:val="22"/>
                <w:lang w:eastAsia="en-GB"/>
              </w:rPr>
            </w:pPr>
            <w:r w:rsidRPr="003C426F">
              <w:rPr>
                <w:rFonts w:cs="Arial"/>
                <w:color w:val="000000"/>
                <w:sz w:val="22"/>
                <w:szCs w:val="22"/>
                <w:lang w:eastAsia="en-GB"/>
              </w:rPr>
              <w:t>Investment Income</w:t>
            </w:r>
          </w:p>
        </w:tc>
        <w:tc>
          <w:tcPr>
            <w:tcW w:w="1240" w:type="dxa"/>
            <w:shd w:val="clear" w:color="auto" w:fill="auto"/>
            <w:noWrap/>
            <w:vAlign w:val="bottom"/>
          </w:tcPr>
          <w:p w14:paraId="7DC0C91B" w14:textId="77777777" w:rsidR="00C14C2A" w:rsidRPr="003C426F" w:rsidRDefault="00453999" w:rsidP="00C011FC">
            <w:pPr>
              <w:jc w:val="right"/>
              <w:rPr>
                <w:sz w:val="22"/>
                <w:szCs w:val="22"/>
                <w:lang w:eastAsia="en-GB"/>
              </w:rPr>
            </w:pPr>
            <w:r w:rsidRPr="003C426F">
              <w:rPr>
                <w:sz w:val="22"/>
                <w:szCs w:val="22"/>
                <w:lang w:eastAsia="en-GB"/>
              </w:rPr>
              <w:t>(77)</w:t>
            </w:r>
          </w:p>
        </w:tc>
        <w:tc>
          <w:tcPr>
            <w:tcW w:w="1240" w:type="dxa"/>
            <w:shd w:val="clear" w:color="auto" w:fill="auto"/>
            <w:noWrap/>
            <w:vAlign w:val="bottom"/>
          </w:tcPr>
          <w:p w14:paraId="67F00C83" w14:textId="77777777" w:rsidR="00C14C2A" w:rsidRPr="003C426F" w:rsidRDefault="00453999" w:rsidP="00C011FC">
            <w:pPr>
              <w:jc w:val="right"/>
              <w:rPr>
                <w:sz w:val="22"/>
                <w:szCs w:val="22"/>
                <w:lang w:eastAsia="en-GB"/>
              </w:rPr>
            </w:pPr>
            <w:r w:rsidRPr="003C426F">
              <w:rPr>
                <w:sz w:val="22"/>
                <w:szCs w:val="22"/>
                <w:lang w:eastAsia="en-GB"/>
              </w:rPr>
              <w:t>(61)</w:t>
            </w:r>
          </w:p>
        </w:tc>
        <w:tc>
          <w:tcPr>
            <w:tcW w:w="1240" w:type="dxa"/>
            <w:shd w:val="clear" w:color="auto" w:fill="auto"/>
            <w:noWrap/>
            <w:vAlign w:val="bottom"/>
          </w:tcPr>
          <w:p w14:paraId="7F1CF998" w14:textId="77777777" w:rsidR="00C14C2A" w:rsidRPr="003C426F" w:rsidRDefault="00453999" w:rsidP="00EC4D06">
            <w:pPr>
              <w:jc w:val="right"/>
              <w:rPr>
                <w:sz w:val="22"/>
                <w:szCs w:val="22"/>
                <w:lang w:eastAsia="en-GB"/>
              </w:rPr>
            </w:pPr>
            <w:r w:rsidRPr="003C426F">
              <w:rPr>
                <w:sz w:val="22"/>
                <w:szCs w:val="22"/>
                <w:lang w:eastAsia="en-GB"/>
              </w:rPr>
              <w:t>(6</w:t>
            </w:r>
            <w:r w:rsidR="00EC4D06">
              <w:rPr>
                <w:sz w:val="22"/>
                <w:szCs w:val="22"/>
                <w:lang w:eastAsia="en-GB"/>
              </w:rPr>
              <w:t>1</w:t>
            </w:r>
            <w:r w:rsidRPr="003C426F">
              <w:rPr>
                <w:sz w:val="22"/>
                <w:szCs w:val="22"/>
                <w:lang w:eastAsia="en-GB"/>
              </w:rPr>
              <w:t>)</w:t>
            </w:r>
          </w:p>
        </w:tc>
        <w:tc>
          <w:tcPr>
            <w:tcW w:w="1240" w:type="dxa"/>
            <w:shd w:val="clear" w:color="auto" w:fill="auto"/>
            <w:noWrap/>
            <w:vAlign w:val="bottom"/>
          </w:tcPr>
          <w:p w14:paraId="15A02DAA" w14:textId="2E8FCF1C" w:rsidR="00C14C2A" w:rsidRPr="003C426F" w:rsidRDefault="00453999" w:rsidP="00423B1D">
            <w:pPr>
              <w:jc w:val="right"/>
              <w:rPr>
                <w:sz w:val="22"/>
                <w:szCs w:val="22"/>
                <w:lang w:eastAsia="en-GB"/>
              </w:rPr>
            </w:pPr>
            <w:r w:rsidRPr="003C426F">
              <w:rPr>
                <w:sz w:val="22"/>
                <w:szCs w:val="22"/>
                <w:lang w:eastAsia="en-GB"/>
              </w:rPr>
              <w:t>(6</w:t>
            </w:r>
            <w:r w:rsidR="00423B1D">
              <w:rPr>
                <w:sz w:val="22"/>
                <w:szCs w:val="22"/>
                <w:lang w:eastAsia="en-GB"/>
              </w:rPr>
              <w:t>3</w:t>
            </w:r>
            <w:r w:rsidRPr="003C426F">
              <w:rPr>
                <w:sz w:val="22"/>
                <w:szCs w:val="22"/>
                <w:lang w:eastAsia="en-GB"/>
              </w:rPr>
              <w:t>)</w:t>
            </w:r>
          </w:p>
        </w:tc>
      </w:tr>
      <w:tr w:rsidR="00C14C2A" w:rsidRPr="003C426F" w14:paraId="4B2034ED" w14:textId="77777777" w:rsidTr="00353BF9">
        <w:trPr>
          <w:trHeight w:val="288"/>
        </w:trPr>
        <w:tc>
          <w:tcPr>
            <w:tcW w:w="4420" w:type="dxa"/>
            <w:shd w:val="clear" w:color="auto" w:fill="auto"/>
            <w:noWrap/>
            <w:vAlign w:val="bottom"/>
          </w:tcPr>
          <w:p w14:paraId="71A9FCF3" w14:textId="77777777" w:rsidR="00C14C2A" w:rsidRPr="003C426F" w:rsidRDefault="00C14C2A" w:rsidP="00662880">
            <w:pPr>
              <w:rPr>
                <w:rFonts w:cs="Arial"/>
                <w:color w:val="000000"/>
                <w:sz w:val="22"/>
                <w:szCs w:val="22"/>
                <w:lang w:eastAsia="en-GB"/>
              </w:rPr>
            </w:pPr>
          </w:p>
        </w:tc>
        <w:tc>
          <w:tcPr>
            <w:tcW w:w="1240" w:type="dxa"/>
            <w:shd w:val="clear" w:color="auto" w:fill="auto"/>
            <w:noWrap/>
            <w:vAlign w:val="bottom"/>
          </w:tcPr>
          <w:p w14:paraId="2159E58C" w14:textId="77777777" w:rsidR="00C14C2A" w:rsidRPr="003C426F" w:rsidRDefault="00C14C2A" w:rsidP="00353BF9">
            <w:pPr>
              <w:jc w:val="right"/>
              <w:rPr>
                <w:sz w:val="22"/>
                <w:szCs w:val="22"/>
                <w:lang w:eastAsia="en-GB"/>
              </w:rPr>
            </w:pPr>
          </w:p>
        </w:tc>
        <w:tc>
          <w:tcPr>
            <w:tcW w:w="1240" w:type="dxa"/>
            <w:shd w:val="clear" w:color="auto" w:fill="auto"/>
            <w:noWrap/>
            <w:vAlign w:val="bottom"/>
          </w:tcPr>
          <w:p w14:paraId="10C7FBA9" w14:textId="77777777" w:rsidR="00C14C2A" w:rsidRPr="003C426F" w:rsidRDefault="00C14C2A" w:rsidP="00353BF9">
            <w:pPr>
              <w:jc w:val="right"/>
              <w:rPr>
                <w:sz w:val="22"/>
                <w:szCs w:val="22"/>
                <w:lang w:eastAsia="en-GB"/>
              </w:rPr>
            </w:pPr>
          </w:p>
        </w:tc>
        <w:tc>
          <w:tcPr>
            <w:tcW w:w="1240" w:type="dxa"/>
            <w:shd w:val="clear" w:color="auto" w:fill="auto"/>
            <w:noWrap/>
            <w:vAlign w:val="bottom"/>
          </w:tcPr>
          <w:p w14:paraId="630E4707" w14:textId="77777777" w:rsidR="00C14C2A" w:rsidRPr="003C426F" w:rsidRDefault="00C14C2A" w:rsidP="00353BF9">
            <w:pPr>
              <w:jc w:val="right"/>
              <w:rPr>
                <w:sz w:val="22"/>
                <w:szCs w:val="22"/>
                <w:lang w:eastAsia="en-GB"/>
              </w:rPr>
            </w:pPr>
          </w:p>
        </w:tc>
        <w:tc>
          <w:tcPr>
            <w:tcW w:w="1240" w:type="dxa"/>
            <w:shd w:val="clear" w:color="auto" w:fill="auto"/>
            <w:noWrap/>
            <w:vAlign w:val="bottom"/>
          </w:tcPr>
          <w:p w14:paraId="35C7C012" w14:textId="77777777" w:rsidR="00C14C2A" w:rsidRPr="003C426F" w:rsidRDefault="00C14C2A" w:rsidP="00353BF9">
            <w:pPr>
              <w:jc w:val="right"/>
              <w:rPr>
                <w:sz w:val="22"/>
                <w:szCs w:val="22"/>
                <w:lang w:eastAsia="en-GB"/>
              </w:rPr>
            </w:pPr>
          </w:p>
        </w:tc>
      </w:tr>
      <w:tr w:rsidR="00C14C2A" w:rsidRPr="003C426F" w14:paraId="3E0F68E0" w14:textId="77777777" w:rsidTr="00353BF9">
        <w:trPr>
          <w:trHeight w:val="288"/>
        </w:trPr>
        <w:tc>
          <w:tcPr>
            <w:tcW w:w="4420" w:type="dxa"/>
            <w:shd w:val="clear" w:color="auto" w:fill="auto"/>
            <w:noWrap/>
            <w:vAlign w:val="bottom"/>
          </w:tcPr>
          <w:p w14:paraId="2D9B3F64" w14:textId="77777777" w:rsidR="00C14C2A" w:rsidRPr="00423B1D" w:rsidRDefault="00C14C2A" w:rsidP="00662880">
            <w:pPr>
              <w:rPr>
                <w:rFonts w:cs="Arial"/>
                <w:b/>
                <w:color w:val="000000"/>
                <w:sz w:val="22"/>
                <w:szCs w:val="22"/>
                <w:lang w:eastAsia="en-GB"/>
              </w:rPr>
            </w:pPr>
            <w:r w:rsidRPr="00423B1D">
              <w:rPr>
                <w:rFonts w:cs="Arial"/>
                <w:b/>
                <w:color w:val="000000"/>
                <w:sz w:val="22"/>
                <w:szCs w:val="22"/>
                <w:lang w:eastAsia="en-GB"/>
              </w:rPr>
              <w:t>(Surplus)/Deficit c/</w:t>
            </w:r>
            <w:proofErr w:type="spellStart"/>
            <w:r w:rsidRPr="00423B1D">
              <w:rPr>
                <w:rFonts w:cs="Arial"/>
                <w:b/>
                <w:color w:val="000000"/>
                <w:sz w:val="22"/>
                <w:szCs w:val="22"/>
                <w:lang w:eastAsia="en-GB"/>
              </w:rPr>
              <w:t>fwd</w:t>
            </w:r>
            <w:proofErr w:type="spellEnd"/>
          </w:p>
        </w:tc>
        <w:tc>
          <w:tcPr>
            <w:tcW w:w="1240" w:type="dxa"/>
            <w:shd w:val="clear" w:color="auto" w:fill="auto"/>
            <w:noWrap/>
            <w:vAlign w:val="bottom"/>
          </w:tcPr>
          <w:p w14:paraId="37DBAA42" w14:textId="77777777" w:rsidR="00C14C2A" w:rsidRPr="00423B1D" w:rsidRDefault="00453999" w:rsidP="00EC4D06">
            <w:pPr>
              <w:jc w:val="right"/>
              <w:rPr>
                <w:b/>
                <w:sz w:val="22"/>
                <w:szCs w:val="22"/>
                <w:lang w:eastAsia="en-GB"/>
              </w:rPr>
            </w:pPr>
            <w:r w:rsidRPr="00423B1D">
              <w:rPr>
                <w:b/>
                <w:sz w:val="22"/>
                <w:szCs w:val="22"/>
                <w:lang w:eastAsia="en-GB"/>
              </w:rPr>
              <w:t>(11,45</w:t>
            </w:r>
            <w:r w:rsidR="00EC4D06" w:rsidRPr="00423B1D">
              <w:rPr>
                <w:b/>
                <w:sz w:val="22"/>
                <w:szCs w:val="22"/>
                <w:lang w:eastAsia="en-GB"/>
              </w:rPr>
              <w:t>7</w:t>
            </w:r>
            <w:r w:rsidRPr="00423B1D">
              <w:rPr>
                <w:b/>
                <w:sz w:val="22"/>
                <w:szCs w:val="22"/>
                <w:lang w:eastAsia="en-GB"/>
              </w:rPr>
              <w:t>)</w:t>
            </w:r>
          </w:p>
        </w:tc>
        <w:tc>
          <w:tcPr>
            <w:tcW w:w="1240" w:type="dxa"/>
            <w:shd w:val="clear" w:color="auto" w:fill="auto"/>
            <w:noWrap/>
            <w:vAlign w:val="bottom"/>
          </w:tcPr>
          <w:p w14:paraId="011F7208" w14:textId="624FF05E" w:rsidR="00C14C2A" w:rsidRPr="00423B1D" w:rsidRDefault="00453999" w:rsidP="00423B1D">
            <w:pPr>
              <w:jc w:val="right"/>
              <w:rPr>
                <w:b/>
                <w:sz w:val="22"/>
                <w:szCs w:val="22"/>
                <w:lang w:eastAsia="en-GB"/>
              </w:rPr>
            </w:pPr>
            <w:r w:rsidRPr="00423B1D">
              <w:rPr>
                <w:b/>
                <w:sz w:val="22"/>
                <w:szCs w:val="22"/>
                <w:lang w:eastAsia="en-GB"/>
              </w:rPr>
              <w:t>(</w:t>
            </w:r>
            <w:r w:rsidR="00EC4D06" w:rsidRPr="00423B1D">
              <w:rPr>
                <w:b/>
                <w:sz w:val="22"/>
                <w:szCs w:val="22"/>
                <w:lang w:eastAsia="en-GB"/>
              </w:rPr>
              <w:t>9,2</w:t>
            </w:r>
            <w:r w:rsidR="00423B1D">
              <w:rPr>
                <w:b/>
                <w:sz w:val="22"/>
                <w:szCs w:val="22"/>
                <w:lang w:eastAsia="en-GB"/>
              </w:rPr>
              <w:t>09</w:t>
            </w:r>
            <w:r w:rsidRPr="00423B1D">
              <w:rPr>
                <w:b/>
                <w:sz w:val="22"/>
                <w:szCs w:val="22"/>
                <w:lang w:eastAsia="en-GB"/>
              </w:rPr>
              <w:t>)</w:t>
            </w:r>
          </w:p>
        </w:tc>
        <w:tc>
          <w:tcPr>
            <w:tcW w:w="1240" w:type="dxa"/>
            <w:shd w:val="clear" w:color="auto" w:fill="auto"/>
            <w:noWrap/>
            <w:vAlign w:val="bottom"/>
          </w:tcPr>
          <w:p w14:paraId="2E665E65" w14:textId="77777777" w:rsidR="00C14C2A" w:rsidRPr="00423B1D" w:rsidRDefault="00453999" w:rsidP="00EC4D06">
            <w:pPr>
              <w:jc w:val="right"/>
              <w:rPr>
                <w:b/>
                <w:sz w:val="22"/>
                <w:szCs w:val="22"/>
                <w:lang w:eastAsia="en-GB"/>
              </w:rPr>
            </w:pPr>
            <w:r w:rsidRPr="00423B1D">
              <w:rPr>
                <w:b/>
                <w:sz w:val="22"/>
                <w:szCs w:val="22"/>
                <w:lang w:eastAsia="en-GB"/>
              </w:rPr>
              <w:t>(</w:t>
            </w:r>
            <w:r w:rsidR="00EC4D06" w:rsidRPr="00423B1D">
              <w:rPr>
                <w:b/>
                <w:sz w:val="22"/>
                <w:szCs w:val="22"/>
                <w:lang w:eastAsia="en-GB"/>
              </w:rPr>
              <w:t>7</w:t>
            </w:r>
            <w:r w:rsidRPr="00423B1D">
              <w:rPr>
                <w:b/>
                <w:sz w:val="22"/>
                <w:szCs w:val="22"/>
                <w:lang w:eastAsia="en-GB"/>
              </w:rPr>
              <w:t>,</w:t>
            </w:r>
            <w:r w:rsidR="00EC4D06" w:rsidRPr="00423B1D">
              <w:rPr>
                <w:b/>
                <w:sz w:val="22"/>
                <w:szCs w:val="22"/>
                <w:lang w:eastAsia="en-GB"/>
              </w:rPr>
              <w:t>5</w:t>
            </w:r>
            <w:r w:rsidRPr="00423B1D">
              <w:rPr>
                <w:b/>
                <w:sz w:val="22"/>
                <w:szCs w:val="22"/>
                <w:lang w:eastAsia="en-GB"/>
              </w:rPr>
              <w:t>2</w:t>
            </w:r>
            <w:r w:rsidR="00EC4D06" w:rsidRPr="00423B1D">
              <w:rPr>
                <w:b/>
                <w:sz w:val="22"/>
                <w:szCs w:val="22"/>
                <w:lang w:eastAsia="en-GB"/>
              </w:rPr>
              <w:t>1</w:t>
            </w:r>
            <w:r w:rsidRPr="00423B1D">
              <w:rPr>
                <w:b/>
                <w:sz w:val="22"/>
                <w:szCs w:val="22"/>
                <w:lang w:eastAsia="en-GB"/>
              </w:rPr>
              <w:t>)</w:t>
            </w:r>
          </w:p>
        </w:tc>
        <w:tc>
          <w:tcPr>
            <w:tcW w:w="1240" w:type="dxa"/>
            <w:shd w:val="clear" w:color="auto" w:fill="auto"/>
            <w:noWrap/>
            <w:vAlign w:val="bottom"/>
          </w:tcPr>
          <w:p w14:paraId="28401918" w14:textId="22DEA20C" w:rsidR="00C14C2A" w:rsidRPr="00423B1D" w:rsidRDefault="00453999" w:rsidP="00423B1D">
            <w:pPr>
              <w:jc w:val="right"/>
              <w:rPr>
                <w:b/>
                <w:sz w:val="22"/>
                <w:szCs w:val="22"/>
                <w:lang w:eastAsia="en-GB"/>
              </w:rPr>
            </w:pPr>
            <w:r w:rsidRPr="00423B1D">
              <w:rPr>
                <w:b/>
                <w:sz w:val="22"/>
                <w:szCs w:val="22"/>
                <w:lang w:eastAsia="en-GB"/>
              </w:rPr>
              <w:t>(</w:t>
            </w:r>
            <w:r w:rsidR="00EC4D06" w:rsidRPr="00423B1D">
              <w:rPr>
                <w:b/>
                <w:sz w:val="22"/>
                <w:szCs w:val="22"/>
                <w:lang w:eastAsia="en-GB"/>
              </w:rPr>
              <w:t>5,82</w:t>
            </w:r>
            <w:r w:rsidR="00423B1D">
              <w:rPr>
                <w:b/>
                <w:sz w:val="22"/>
                <w:szCs w:val="22"/>
                <w:lang w:eastAsia="en-GB"/>
              </w:rPr>
              <w:t>2</w:t>
            </w:r>
            <w:r w:rsidRPr="00423B1D">
              <w:rPr>
                <w:b/>
                <w:sz w:val="22"/>
                <w:szCs w:val="22"/>
                <w:lang w:eastAsia="en-GB"/>
              </w:rPr>
              <w:t>)</w:t>
            </w:r>
          </w:p>
        </w:tc>
      </w:tr>
      <w:tr w:rsidR="00C14C2A" w:rsidRPr="003C426F" w14:paraId="5C6581A5" w14:textId="77777777" w:rsidTr="00353BF9">
        <w:trPr>
          <w:trHeight w:val="288"/>
        </w:trPr>
        <w:tc>
          <w:tcPr>
            <w:tcW w:w="4420" w:type="dxa"/>
            <w:shd w:val="clear" w:color="auto" w:fill="auto"/>
            <w:noWrap/>
            <w:vAlign w:val="bottom"/>
          </w:tcPr>
          <w:p w14:paraId="70372F94" w14:textId="77777777" w:rsidR="00C14C2A" w:rsidRPr="003C426F" w:rsidRDefault="00C14C2A" w:rsidP="00662880">
            <w:pPr>
              <w:rPr>
                <w:rFonts w:cs="Arial"/>
                <w:color w:val="000000"/>
                <w:sz w:val="22"/>
                <w:szCs w:val="22"/>
                <w:lang w:eastAsia="en-GB"/>
              </w:rPr>
            </w:pPr>
          </w:p>
        </w:tc>
        <w:tc>
          <w:tcPr>
            <w:tcW w:w="1240" w:type="dxa"/>
            <w:shd w:val="clear" w:color="auto" w:fill="auto"/>
            <w:noWrap/>
            <w:vAlign w:val="bottom"/>
          </w:tcPr>
          <w:p w14:paraId="10292CF7" w14:textId="77777777" w:rsidR="00C14C2A" w:rsidRPr="003C426F" w:rsidRDefault="00C14C2A" w:rsidP="00353BF9">
            <w:pPr>
              <w:jc w:val="right"/>
              <w:rPr>
                <w:sz w:val="22"/>
                <w:szCs w:val="22"/>
                <w:lang w:eastAsia="en-GB"/>
              </w:rPr>
            </w:pPr>
          </w:p>
        </w:tc>
        <w:tc>
          <w:tcPr>
            <w:tcW w:w="1240" w:type="dxa"/>
            <w:shd w:val="clear" w:color="auto" w:fill="auto"/>
            <w:noWrap/>
            <w:vAlign w:val="bottom"/>
          </w:tcPr>
          <w:p w14:paraId="16AEBE4C" w14:textId="77777777" w:rsidR="00C14C2A" w:rsidRPr="003C426F" w:rsidRDefault="00C14C2A" w:rsidP="00353BF9">
            <w:pPr>
              <w:jc w:val="right"/>
              <w:rPr>
                <w:sz w:val="22"/>
                <w:szCs w:val="22"/>
                <w:lang w:eastAsia="en-GB"/>
              </w:rPr>
            </w:pPr>
          </w:p>
        </w:tc>
        <w:tc>
          <w:tcPr>
            <w:tcW w:w="1240" w:type="dxa"/>
            <w:shd w:val="clear" w:color="auto" w:fill="auto"/>
            <w:noWrap/>
            <w:vAlign w:val="bottom"/>
          </w:tcPr>
          <w:p w14:paraId="48C736C9" w14:textId="77777777" w:rsidR="00C14C2A" w:rsidRPr="003C426F" w:rsidRDefault="00C14C2A" w:rsidP="00353BF9">
            <w:pPr>
              <w:jc w:val="right"/>
              <w:rPr>
                <w:sz w:val="22"/>
                <w:szCs w:val="22"/>
                <w:lang w:eastAsia="en-GB"/>
              </w:rPr>
            </w:pPr>
          </w:p>
        </w:tc>
        <w:tc>
          <w:tcPr>
            <w:tcW w:w="1240" w:type="dxa"/>
            <w:shd w:val="clear" w:color="auto" w:fill="auto"/>
            <w:noWrap/>
            <w:vAlign w:val="bottom"/>
          </w:tcPr>
          <w:p w14:paraId="1D8D9A4F" w14:textId="77777777" w:rsidR="00C14C2A" w:rsidRPr="003C426F" w:rsidRDefault="00C14C2A" w:rsidP="00353BF9">
            <w:pPr>
              <w:jc w:val="right"/>
              <w:rPr>
                <w:sz w:val="22"/>
                <w:szCs w:val="22"/>
                <w:lang w:eastAsia="en-GB"/>
              </w:rPr>
            </w:pPr>
          </w:p>
        </w:tc>
      </w:tr>
    </w:tbl>
    <w:p w14:paraId="3D2B7294" w14:textId="77777777" w:rsidR="00902E5A" w:rsidRPr="003C426F" w:rsidRDefault="00902E5A" w:rsidP="00902E5A">
      <w:pPr>
        <w:tabs>
          <w:tab w:val="left" w:pos="1260"/>
        </w:tabs>
        <w:autoSpaceDE w:val="0"/>
        <w:autoSpaceDN w:val="0"/>
        <w:adjustRightInd w:val="0"/>
        <w:ind w:left="1260" w:right="380" w:hanging="540"/>
        <w:jc w:val="both"/>
        <w:rPr>
          <w:rFonts w:cs="Arial"/>
        </w:rPr>
      </w:pPr>
      <w:r w:rsidRPr="003C426F">
        <w:rPr>
          <w:rFonts w:cs="Arial"/>
        </w:rPr>
        <w:tab/>
      </w:r>
      <w:r w:rsidRPr="003C426F">
        <w:rPr>
          <w:rFonts w:cs="Arial"/>
        </w:rPr>
        <w:tab/>
      </w:r>
    </w:p>
    <w:p w14:paraId="46D77739" w14:textId="77777777" w:rsidR="00714164" w:rsidRPr="003C426F" w:rsidRDefault="00714164" w:rsidP="002B7914">
      <w:pPr>
        <w:autoSpaceDE w:val="0"/>
        <w:autoSpaceDN w:val="0"/>
        <w:adjustRightInd w:val="0"/>
        <w:ind w:left="567" w:right="380"/>
        <w:jc w:val="both"/>
        <w:rPr>
          <w:rFonts w:cs="Arial"/>
          <w:b/>
        </w:rPr>
      </w:pPr>
    </w:p>
    <w:p w14:paraId="5305AF48" w14:textId="1A3C91D2" w:rsidR="00714164" w:rsidRPr="003C426F" w:rsidRDefault="00496A88" w:rsidP="00280593">
      <w:pPr>
        <w:autoSpaceDE w:val="0"/>
        <w:autoSpaceDN w:val="0"/>
        <w:adjustRightInd w:val="0"/>
        <w:ind w:left="567" w:right="380" w:hanging="567"/>
        <w:jc w:val="both"/>
        <w:rPr>
          <w:rFonts w:cs="Arial"/>
          <w:b/>
        </w:rPr>
      </w:pPr>
      <w:r>
        <w:rPr>
          <w:rFonts w:cs="Arial"/>
        </w:rPr>
        <w:t>4</w:t>
      </w:r>
      <w:r w:rsidR="00BD0932">
        <w:rPr>
          <w:rFonts w:cs="Arial"/>
        </w:rPr>
        <w:t>2</w:t>
      </w:r>
      <w:r w:rsidR="00280593" w:rsidRPr="003C426F">
        <w:rPr>
          <w:rFonts w:cs="Arial"/>
        </w:rPr>
        <w:tab/>
      </w:r>
      <w:r w:rsidR="00A17A6E" w:rsidRPr="003C426F">
        <w:rPr>
          <w:rFonts w:cs="Arial"/>
        </w:rPr>
        <w:t xml:space="preserve">The Housing Revenue Account shows a stable financial position over the next four years. This may change depending on the implementation of the </w:t>
      </w:r>
      <w:r w:rsidR="00C35200">
        <w:rPr>
          <w:rFonts w:cs="Arial"/>
        </w:rPr>
        <w:t>h</w:t>
      </w:r>
      <w:r w:rsidR="00A17A6E" w:rsidRPr="003C426F">
        <w:rPr>
          <w:rFonts w:cs="Arial"/>
        </w:rPr>
        <w:t xml:space="preserve">igh </w:t>
      </w:r>
      <w:r w:rsidR="00C35200">
        <w:rPr>
          <w:rFonts w:cs="Arial"/>
        </w:rPr>
        <w:t>v</w:t>
      </w:r>
      <w:r w:rsidR="00A17A6E" w:rsidRPr="003C426F">
        <w:rPr>
          <w:rFonts w:cs="Arial"/>
        </w:rPr>
        <w:t xml:space="preserve">alue </w:t>
      </w:r>
      <w:r w:rsidR="00C92C17">
        <w:rPr>
          <w:rFonts w:cs="Arial"/>
        </w:rPr>
        <w:t xml:space="preserve">voids levy payment </w:t>
      </w:r>
      <w:r w:rsidR="00A17A6E" w:rsidRPr="003C426F">
        <w:rPr>
          <w:rFonts w:cs="Arial"/>
        </w:rPr>
        <w:t>contained with</w:t>
      </w:r>
      <w:r w:rsidR="00324199" w:rsidRPr="003C426F">
        <w:rPr>
          <w:rFonts w:cs="Arial"/>
        </w:rPr>
        <w:t>in the Housing and Planning Bill</w:t>
      </w:r>
      <w:r w:rsidR="00C35200">
        <w:rPr>
          <w:rFonts w:cs="Arial"/>
        </w:rPr>
        <w:t xml:space="preserve"> and future guidance on rent levels</w:t>
      </w:r>
      <w:r w:rsidR="00324199" w:rsidRPr="003C426F">
        <w:rPr>
          <w:rFonts w:cs="Arial"/>
        </w:rPr>
        <w:t>.</w:t>
      </w:r>
    </w:p>
    <w:p w14:paraId="1C223460" w14:textId="77777777" w:rsidR="00714164" w:rsidRDefault="00714164" w:rsidP="002B7914">
      <w:pPr>
        <w:autoSpaceDE w:val="0"/>
        <w:autoSpaceDN w:val="0"/>
        <w:adjustRightInd w:val="0"/>
        <w:ind w:left="567" w:right="380"/>
        <w:jc w:val="both"/>
        <w:rPr>
          <w:rFonts w:cs="Arial"/>
          <w:b/>
        </w:rPr>
      </w:pPr>
    </w:p>
    <w:p w14:paraId="6DE008F6" w14:textId="77777777" w:rsidR="009172F5" w:rsidRPr="003C426F" w:rsidRDefault="009172F5" w:rsidP="002B7914">
      <w:pPr>
        <w:autoSpaceDE w:val="0"/>
        <w:autoSpaceDN w:val="0"/>
        <w:adjustRightInd w:val="0"/>
        <w:ind w:left="567" w:right="380"/>
        <w:jc w:val="both"/>
        <w:rPr>
          <w:rFonts w:cs="Arial"/>
          <w:b/>
        </w:rPr>
      </w:pPr>
    </w:p>
    <w:p w14:paraId="67400AD5" w14:textId="77777777" w:rsidR="00902E5A" w:rsidRPr="003C426F" w:rsidRDefault="00902E5A" w:rsidP="002B7914">
      <w:pPr>
        <w:autoSpaceDE w:val="0"/>
        <w:autoSpaceDN w:val="0"/>
        <w:adjustRightInd w:val="0"/>
        <w:ind w:left="567" w:right="380"/>
        <w:jc w:val="both"/>
        <w:rPr>
          <w:rFonts w:cs="Arial"/>
          <w:b/>
        </w:rPr>
      </w:pPr>
      <w:r w:rsidRPr="003C426F">
        <w:rPr>
          <w:rFonts w:cs="Arial"/>
          <w:b/>
        </w:rPr>
        <w:lastRenderedPageBreak/>
        <w:t>Risk Implications</w:t>
      </w:r>
    </w:p>
    <w:p w14:paraId="1EEC83EB" w14:textId="77777777" w:rsidR="00902E5A" w:rsidRPr="003C426F" w:rsidRDefault="00902E5A" w:rsidP="00902E5A">
      <w:pPr>
        <w:autoSpaceDE w:val="0"/>
        <w:autoSpaceDN w:val="0"/>
        <w:adjustRightInd w:val="0"/>
        <w:ind w:left="720" w:right="380"/>
        <w:jc w:val="both"/>
        <w:rPr>
          <w:rFonts w:cs="Arial"/>
          <w:b/>
        </w:rPr>
      </w:pPr>
    </w:p>
    <w:p w14:paraId="728D8F7B" w14:textId="09F8D472" w:rsidR="00902E5A" w:rsidRPr="003C426F" w:rsidRDefault="00496A88" w:rsidP="002B7914">
      <w:pPr>
        <w:autoSpaceDE w:val="0"/>
        <w:autoSpaceDN w:val="0"/>
        <w:adjustRightInd w:val="0"/>
        <w:ind w:left="567" w:right="380" w:hanging="567"/>
        <w:jc w:val="both"/>
      </w:pPr>
      <w:r>
        <w:t>4</w:t>
      </w:r>
      <w:r w:rsidR="00BD0932">
        <w:t>3</w:t>
      </w:r>
      <w:r w:rsidR="00902E5A" w:rsidRPr="003C426F">
        <w:tab/>
        <w:t xml:space="preserve">The main risks to the balanced position of </w:t>
      </w:r>
      <w:r w:rsidR="00921B4B" w:rsidRPr="003C426F">
        <w:t xml:space="preserve">HRA </w:t>
      </w:r>
      <w:r w:rsidR="00C35200">
        <w:t>are</w:t>
      </w:r>
      <w:r w:rsidR="009D4B73" w:rsidRPr="003C426F">
        <w:t xml:space="preserve"> </w:t>
      </w:r>
      <w:r w:rsidR="00AB541D" w:rsidRPr="003C426F">
        <w:t>summarised below</w:t>
      </w:r>
      <w:r>
        <w:t xml:space="preserve"> </w:t>
      </w:r>
      <w:r w:rsidR="002441B3">
        <w:t>and</w:t>
      </w:r>
      <w:r w:rsidR="002441B3" w:rsidRPr="003C426F">
        <w:t xml:space="preserve"> detailed</w:t>
      </w:r>
      <w:r w:rsidR="00921B4B" w:rsidRPr="003C426F">
        <w:t xml:space="preserve"> in </w:t>
      </w:r>
      <w:r w:rsidR="00902E5A" w:rsidRPr="003C426F">
        <w:t xml:space="preserve">Appendix </w:t>
      </w:r>
      <w:r w:rsidR="00823B6F">
        <w:t>8</w:t>
      </w:r>
      <w:r w:rsidR="00AB541D" w:rsidRPr="003C426F">
        <w:t>:</w:t>
      </w:r>
    </w:p>
    <w:p w14:paraId="3BC65BF8" w14:textId="77777777" w:rsidR="00D06890" w:rsidRPr="003C426F" w:rsidRDefault="00D06890" w:rsidP="002B7914">
      <w:pPr>
        <w:autoSpaceDE w:val="0"/>
        <w:autoSpaceDN w:val="0"/>
        <w:adjustRightInd w:val="0"/>
        <w:ind w:left="567" w:right="380" w:hanging="567"/>
        <w:jc w:val="both"/>
      </w:pPr>
    </w:p>
    <w:p w14:paraId="43C2FD5B" w14:textId="77777777" w:rsidR="00D06890" w:rsidRPr="003C426F" w:rsidRDefault="00D06890" w:rsidP="00302C27">
      <w:pPr>
        <w:numPr>
          <w:ilvl w:val="1"/>
          <w:numId w:val="4"/>
        </w:numPr>
        <w:tabs>
          <w:tab w:val="clear" w:pos="2160"/>
          <w:tab w:val="num" w:pos="851"/>
        </w:tabs>
        <w:autoSpaceDE w:val="0"/>
        <w:autoSpaceDN w:val="0"/>
        <w:adjustRightInd w:val="0"/>
        <w:ind w:left="851" w:right="380" w:hanging="284"/>
        <w:jc w:val="both"/>
        <w:rPr>
          <w:rFonts w:cs="Arial"/>
        </w:rPr>
      </w:pPr>
      <w:r w:rsidRPr="003C426F">
        <w:rPr>
          <w:rFonts w:cs="Arial"/>
        </w:rPr>
        <w:t>Liability ar</w:t>
      </w:r>
      <w:r w:rsidR="000F525A" w:rsidRPr="003C426F">
        <w:rPr>
          <w:rFonts w:cs="Arial"/>
        </w:rPr>
        <w:t>i</w:t>
      </w:r>
      <w:r w:rsidRPr="003C426F">
        <w:rPr>
          <w:rFonts w:cs="Arial"/>
        </w:rPr>
        <w:t xml:space="preserve">sing from </w:t>
      </w:r>
      <w:r w:rsidR="00C35200">
        <w:rPr>
          <w:rFonts w:cs="Arial"/>
        </w:rPr>
        <w:t>hig</w:t>
      </w:r>
      <w:r w:rsidR="00280593" w:rsidRPr="003C426F">
        <w:rPr>
          <w:rFonts w:cs="Arial"/>
        </w:rPr>
        <w:t xml:space="preserve">h </w:t>
      </w:r>
      <w:r w:rsidR="00C35200">
        <w:rPr>
          <w:rFonts w:cs="Arial"/>
        </w:rPr>
        <w:t>v</w:t>
      </w:r>
      <w:r w:rsidR="00280593" w:rsidRPr="003C426F">
        <w:rPr>
          <w:rFonts w:cs="Arial"/>
        </w:rPr>
        <w:t xml:space="preserve">alue </w:t>
      </w:r>
      <w:r w:rsidR="00C35200">
        <w:rPr>
          <w:rFonts w:cs="Arial"/>
        </w:rPr>
        <w:t>voids levy</w:t>
      </w:r>
      <w:r w:rsidRPr="003C426F">
        <w:rPr>
          <w:rFonts w:cs="Arial"/>
        </w:rPr>
        <w:t xml:space="preserve"> is more than estimated</w:t>
      </w:r>
    </w:p>
    <w:p w14:paraId="2A7E51BE" w14:textId="09CCBE54" w:rsidR="00902E5A" w:rsidRPr="003C426F" w:rsidRDefault="00902E5A" w:rsidP="00302C27">
      <w:pPr>
        <w:numPr>
          <w:ilvl w:val="1"/>
          <w:numId w:val="4"/>
        </w:numPr>
        <w:tabs>
          <w:tab w:val="clear" w:pos="2160"/>
          <w:tab w:val="num" w:pos="851"/>
        </w:tabs>
        <w:autoSpaceDE w:val="0"/>
        <w:autoSpaceDN w:val="0"/>
        <w:adjustRightInd w:val="0"/>
        <w:ind w:left="851" w:right="380" w:hanging="284"/>
        <w:jc w:val="both"/>
        <w:rPr>
          <w:rFonts w:cs="Arial"/>
        </w:rPr>
      </w:pPr>
      <w:r w:rsidRPr="003C426F">
        <w:rPr>
          <w:rFonts w:cs="Arial"/>
        </w:rPr>
        <w:t xml:space="preserve">Increased arrears due to </w:t>
      </w:r>
      <w:r w:rsidR="002468A6" w:rsidRPr="003C426F">
        <w:rPr>
          <w:rFonts w:cs="Arial"/>
        </w:rPr>
        <w:t xml:space="preserve">benefit changes </w:t>
      </w:r>
      <w:r w:rsidR="00921B4B" w:rsidRPr="003C426F">
        <w:rPr>
          <w:rFonts w:cs="Arial"/>
        </w:rPr>
        <w:t xml:space="preserve">arising from the roll out of </w:t>
      </w:r>
      <w:r w:rsidR="002441B3">
        <w:rPr>
          <w:rFonts w:cs="Arial"/>
        </w:rPr>
        <w:t>Universal Credit</w:t>
      </w:r>
    </w:p>
    <w:p w14:paraId="4B12BD04" w14:textId="0EAE5AA2" w:rsidR="00902E5A" w:rsidRPr="003C426F" w:rsidRDefault="00902E5A" w:rsidP="00302C27">
      <w:pPr>
        <w:numPr>
          <w:ilvl w:val="1"/>
          <w:numId w:val="4"/>
        </w:numPr>
        <w:tabs>
          <w:tab w:val="clear" w:pos="2160"/>
          <w:tab w:val="num" w:pos="851"/>
        </w:tabs>
        <w:autoSpaceDE w:val="0"/>
        <w:autoSpaceDN w:val="0"/>
        <w:adjustRightInd w:val="0"/>
        <w:ind w:left="851" w:right="380" w:hanging="284"/>
        <w:jc w:val="both"/>
        <w:rPr>
          <w:rFonts w:cs="Arial"/>
        </w:rPr>
      </w:pPr>
      <w:r w:rsidRPr="003C426F">
        <w:rPr>
          <w:rFonts w:cs="Arial"/>
        </w:rPr>
        <w:t xml:space="preserve">Non-achievement of </w:t>
      </w:r>
      <w:r w:rsidR="002468A6" w:rsidRPr="003C426F">
        <w:rPr>
          <w:rFonts w:cs="Arial"/>
        </w:rPr>
        <w:t xml:space="preserve">assumed </w:t>
      </w:r>
      <w:r w:rsidRPr="003C426F">
        <w:rPr>
          <w:rFonts w:cs="Arial"/>
        </w:rPr>
        <w:t>R</w:t>
      </w:r>
      <w:r w:rsidR="002468A6" w:rsidRPr="003C426F">
        <w:rPr>
          <w:rFonts w:cs="Arial"/>
        </w:rPr>
        <w:t xml:space="preserve">ight </w:t>
      </w:r>
      <w:r w:rsidR="00C92C17">
        <w:rPr>
          <w:rFonts w:cs="Arial"/>
        </w:rPr>
        <w:t>t</w:t>
      </w:r>
      <w:r w:rsidR="002468A6" w:rsidRPr="003C426F">
        <w:rPr>
          <w:rFonts w:cs="Arial"/>
        </w:rPr>
        <w:t xml:space="preserve">o </w:t>
      </w:r>
      <w:r w:rsidRPr="003C426F">
        <w:rPr>
          <w:rFonts w:cs="Arial"/>
        </w:rPr>
        <w:t>B</w:t>
      </w:r>
      <w:r w:rsidR="002468A6" w:rsidRPr="003C426F">
        <w:rPr>
          <w:rFonts w:cs="Arial"/>
        </w:rPr>
        <w:t>uy</w:t>
      </w:r>
      <w:r w:rsidRPr="003C426F">
        <w:rPr>
          <w:rFonts w:cs="Arial"/>
        </w:rPr>
        <w:t xml:space="preserve"> sales now required to fund</w:t>
      </w:r>
      <w:r w:rsidR="003177DF">
        <w:rPr>
          <w:rFonts w:cs="Arial"/>
        </w:rPr>
        <w:t xml:space="preserve"> </w:t>
      </w:r>
      <w:r w:rsidRPr="003C426F">
        <w:rPr>
          <w:rFonts w:cs="Arial"/>
        </w:rPr>
        <w:t xml:space="preserve">increased capital spend commitments. </w:t>
      </w:r>
    </w:p>
    <w:p w14:paraId="28EA17E0" w14:textId="77777777" w:rsidR="00902E5A" w:rsidRPr="003C426F" w:rsidRDefault="00902E5A" w:rsidP="00302C27">
      <w:pPr>
        <w:numPr>
          <w:ilvl w:val="1"/>
          <w:numId w:val="4"/>
        </w:numPr>
        <w:tabs>
          <w:tab w:val="clear" w:pos="2160"/>
          <w:tab w:val="num" w:pos="851"/>
        </w:tabs>
        <w:autoSpaceDE w:val="0"/>
        <w:autoSpaceDN w:val="0"/>
        <w:adjustRightInd w:val="0"/>
        <w:ind w:left="851" w:right="380" w:hanging="284"/>
        <w:jc w:val="both"/>
        <w:rPr>
          <w:rFonts w:cs="Arial"/>
        </w:rPr>
      </w:pPr>
      <w:r w:rsidRPr="003C426F">
        <w:rPr>
          <w:rFonts w:cs="Arial"/>
        </w:rPr>
        <w:t>Non-achievement of planned efficiencies.</w:t>
      </w:r>
    </w:p>
    <w:p w14:paraId="37A2A28D" w14:textId="77777777" w:rsidR="00921B4B" w:rsidRDefault="00921B4B" w:rsidP="00302C27">
      <w:pPr>
        <w:numPr>
          <w:ilvl w:val="1"/>
          <w:numId w:val="4"/>
        </w:numPr>
        <w:tabs>
          <w:tab w:val="clear" w:pos="2160"/>
          <w:tab w:val="num" w:pos="851"/>
        </w:tabs>
        <w:autoSpaceDE w:val="0"/>
        <w:autoSpaceDN w:val="0"/>
        <w:adjustRightInd w:val="0"/>
        <w:ind w:left="851" w:right="380" w:hanging="284"/>
        <w:jc w:val="both"/>
        <w:rPr>
          <w:rFonts w:cs="Arial"/>
        </w:rPr>
      </w:pPr>
      <w:r w:rsidRPr="003C426F">
        <w:rPr>
          <w:rFonts w:cs="Arial"/>
        </w:rPr>
        <w:t>Variations in estimates causing cash flow problems</w:t>
      </w:r>
    </w:p>
    <w:p w14:paraId="7542BB35" w14:textId="77777777" w:rsidR="00C35200" w:rsidRPr="003C426F" w:rsidRDefault="00C35200" w:rsidP="00302C27">
      <w:pPr>
        <w:numPr>
          <w:ilvl w:val="1"/>
          <w:numId w:val="4"/>
        </w:numPr>
        <w:tabs>
          <w:tab w:val="clear" w:pos="2160"/>
          <w:tab w:val="num" w:pos="851"/>
        </w:tabs>
        <w:autoSpaceDE w:val="0"/>
        <w:autoSpaceDN w:val="0"/>
        <w:adjustRightInd w:val="0"/>
        <w:ind w:left="851" w:right="380" w:hanging="284"/>
        <w:jc w:val="both"/>
        <w:rPr>
          <w:rFonts w:cs="Arial"/>
        </w:rPr>
      </w:pPr>
      <w:r>
        <w:rPr>
          <w:rFonts w:cs="Arial"/>
        </w:rPr>
        <w:t>Regulations on future rent levels</w:t>
      </w:r>
    </w:p>
    <w:p w14:paraId="1C14E51B" w14:textId="77777777" w:rsidR="002B7914" w:rsidRPr="002C2483" w:rsidRDefault="002B7914" w:rsidP="002B7914">
      <w:pPr>
        <w:autoSpaceDE w:val="0"/>
        <w:autoSpaceDN w:val="0"/>
        <w:adjustRightInd w:val="0"/>
        <w:ind w:left="851" w:right="380"/>
        <w:jc w:val="both"/>
        <w:rPr>
          <w:rFonts w:cs="Arial"/>
          <w:highlight w:val="yellow"/>
        </w:rPr>
      </w:pPr>
    </w:p>
    <w:p w14:paraId="68A5F23B" w14:textId="77777777" w:rsidR="002719F1" w:rsidRPr="003E1263" w:rsidRDefault="002719F1" w:rsidP="002B7914">
      <w:pPr>
        <w:ind w:left="567" w:right="386" w:hanging="567"/>
        <w:jc w:val="both"/>
        <w:rPr>
          <w:b/>
          <w:sz w:val="28"/>
          <w:szCs w:val="28"/>
        </w:rPr>
      </w:pPr>
      <w:r w:rsidRPr="003E1263">
        <w:rPr>
          <w:b/>
          <w:sz w:val="28"/>
          <w:szCs w:val="28"/>
        </w:rPr>
        <w:t xml:space="preserve">Section D Capital </w:t>
      </w:r>
      <w:r w:rsidR="002468A6" w:rsidRPr="003E1263">
        <w:rPr>
          <w:b/>
          <w:sz w:val="28"/>
          <w:szCs w:val="28"/>
        </w:rPr>
        <w:t>Programme</w:t>
      </w:r>
    </w:p>
    <w:p w14:paraId="414AAED4" w14:textId="77777777" w:rsidR="002719F1" w:rsidRPr="003E1263" w:rsidRDefault="002719F1" w:rsidP="002719F1">
      <w:pPr>
        <w:ind w:right="386" w:firstLine="540"/>
        <w:jc w:val="both"/>
        <w:rPr>
          <w:b/>
          <w:sz w:val="22"/>
          <w:szCs w:val="22"/>
        </w:rPr>
      </w:pPr>
    </w:p>
    <w:p w14:paraId="6921DC58" w14:textId="77777777" w:rsidR="002719F1" w:rsidRPr="003E1263" w:rsidRDefault="002719F1" w:rsidP="002B7914">
      <w:pPr>
        <w:spacing w:before="120"/>
        <w:ind w:left="567" w:right="386" w:hanging="11"/>
        <w:jc w:val="both"/>
        <w:rPr>
          <w:b/>
        </w:rPr>
      </w:pPr>
      <w:r w:rsidRPr="003E1263">
        <w:rPr>
          <w:b/>
        </w:rPr>
        <w:t>General Fund Capital Programme</w:t>
      </w:r>
    </w:p>
    <w:p w14:paraId="530F1A4C" w14:textId="15AA1778" w:rsidR="00D0012F" w:rsidRPr="00D0012F" w:rsidRDefault="00496A88" w:rsidP="0080626D">
      <w:pPr>
        <w:pStyle w:val="Default"/>
        <w:ind w:left="567" w:right="386" w:hanging="567"/>
        <w:jc w:val="both"/>
      </w:pPr>
      <w:r>
        <w:t>4</w:t>
      </w:r>
      <w:r w:rsidR="00BD0932">
        <w:t>4</w:t>
      </w:r>
      <w:r w:rsidR="0080626D" w:rsidRPr="003E1263">
        <w:tab/>
      </w:r>
      <w:r w:rsidR="002719F1" w:rsidRPr="003E1263">
        <w:t xml:space="preserve">The proposed General Fund </w:t>
      </w:r>
      <w:proofErr w:type="spellStart"/>
      <w:r w:rsidR="002719F1" w:rsidRPr="003E1263">
        <w:t>Programme</w:t>
      </w:r>
      <w:proofErr w:type="spellEnd"/>
      <w:r w:rsidR="002719F1" w:rsidRPr="003E1263">
        <w:t xml:space="preserve"> </w:t>
      </w:r>
      <w:r w:rsidR="00C73BD1">
        <w:t xml:space="preserve">shown in Appendix </w:t>
      </w:r>
      <w:r w:rsidR="00823B6F">
        <w:t xml:space="preserve">6 </w:t>
      </w:r>
      <w:r w:rsidR="002719F1" w:rsidRPr="003E1263">
        <w:t>amounts to around £</w:t>
      </w:r>
      <w:r w:rsidR="00F00A73">
        <w:t>12</w:t>
      </w:r>
      <w:r w:rsidR="00823B6F">
        <w:t>2</w:t>
      </w:r>
      <w:r w:rsidR="00F00A73">
        <w:t>.</w:t>
      </w:r>
      <w:r w:rsidR="00823B6F">
        <w:t>5</w:t>
      </w:r>
      <w:r w:rsidR="002719F1" w:rsidRPr="003E1263">
        <w:t xml:space="preserve"> million over the four year period</w:t>
      </w:r>
      <w:r w:rsidR="007B0493" w:rsidRPr="003E1263">
        <w:t xml:space="preserve">.  </w:t>
      </w:r>
      <w:r w:rsidR="00C35200">
        <w:t>In addition to in</w:t>
      </w:r>
      <w:r w:rsidR="00C76B92">
        <w:rPr>
          <w:lang w:val="en-GB"/>
        </w:rPr>
        <w:t>-</w:t>
      </w:r>
      <w:r w:rsidR="00C35200">
        <w:t xml:space="preserve">year variations to account for slippage </w:t>
      </w:r>
      <w:r w:rsidR="00CE3A3C">
        <w:t>t</w:t>
      </w:r>
      <w:r w:rsidR="00D0012F" w:rsidRPr="00D0012F">
        <w:t xml:space="preserve">he changes </w:t>
      </w:r>
      <w:r w:rsidR="00C76B92">
        <w:rPr>
          <w:lang w:val="en-GB"/>
        </w:rPr>
        <w:t xml:space="preserve">to the Capital Programme </w:t>
      </w:r>
      <w:proofErr w:type="gramStart"/>
      <w:r w:rsidR="00D0012F" w:rsidRPr="00D0012F">
        <w:t>include :</w:t>
      </w:r>
      <w:proofErr w:type="gramEnd"/>
    </w:p>
    <w:p w14:paraId="0570B8E5" w14:textId="77777777" w:rsidR="00D0012F" w:rsidRDefault="00D0012F" w:rsidP="0080626D">
      <w:pPr>
        <w:pStyle w:val="Default"/>
        <w:ind w:left="567" w:right="386" w:hanging="567"/>
        <w:jc w:val="both"/>
      </w:pPr>
    </w:p>
    <w:p w14:paraId="5071D027" w14:textId="77777777" w:rsidR="007E2177" w:rsidRDefault="007E2177" w:rsidP="0080626D">
      <w:pPr>
        <w:pStyle w:val="Default"/>
        <w:ind w:left="567" w:right="386" w:hanging="567"/>
        <w:jc w:val="both"/>
      </w:pPr>
    </w:p>
    <w:p w14:paraId="394B5364" w14:textId="77777777" w:rsidR="007E2177" w:rsidRPr="00D0012F" w:rsidRDefault="007E2177" w:rsidP="0080626D">
      <w:pPr>
        <w:pStyle w:val="Default"/>
        <w:ind w:left="567" w:right="386" w:hanging="567"/>
        <w:jc w:val="both"/>
      </w:pPr>
    </w:p>
    <w:p w14:paraId="19CAFA66" w14:textId="77777777" w:rsidR="00D0012F" w:rsidRPr="00D0012F" w:rsidRDefault="00D0012F" w:rsidP="0080626D">
      <w:pPr>
        <w:pStyle w:val="Default"/>
        <w:ind w:left="567" w:right="386" w:hanging="567"/>
        <w:jc w:val="both"/>
      </w:pPr>
      <w:r w:rsidRPr="00D0012F">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470"/>
        <w:gridCol w:w="1507"/>
        <w:gridCol w:w="1470"/>
        <w:gridCol w:w="1490"/>
      </w:tblGrid>
      <w:tr w:rsidR="00603607" w:rsidRPr="00D0012F" w14:paraId="3D05C4AE" w14:textId="77777777" w:rsidTr="00FC2EC9">
        <w:tc>
          <w:tcPr>
            <w:tcW w:w="9395" w:type="dxa"/>
            <w:gridSpan w:val="5"/>
            <w:shd w:val="clear" w:color="auto" w:fill="auto"/>
          </w:tcPr>
          <w:p w14:paraId="1AF4D115" w14:textId="77777777" w:rsidR="00603607" w:rsidRPr="001A0059" w:rsidRDefault="00603607" w:rsidP="0010427B">
            <w:pPr>
              <w:pStyle w:val="Default"/>
              <w:ind w:right="123"/>
              <w:rPr>
                <w:b/>
              </w:rPr>
            </w:pPr>
            <w:r>
              <w:rPr>
                <w:b/>
              </w:rPr>
              <w:t xml:space="preserve">Table </w:t>
            </w:r>
            <w:r w:rsidR="0010427B">
              <w:rPr>
                <w:b/>
              </w:rPr>
              <w:t xml:space="preserve">11 </w:t>
            </w:r>
            <w:r>
              <w:rPr>
                <w:b/>
              </w:rPr>
              <w:t xml:space="preserve">: </w:t>
            </w:r>
            <w:r w:rsidR="0010427B">
              <w:rPr>
                <w:b/>
              </w:rPr>
              <w:t xml:space="preserve">Variations to Capital Budget </w:t>
            </w:r>
          </w:p>
        </w:tc>
      </w:tr>
      <w:tr w:rsidR="00D0012F" w:rsidRPr="00D0012F" w14:paraId="1FD60DF3" w14:textId="77777777" w:rsidTr="001A0059">
        <w:tc>
          <w:tcPr>
            <w:tcW w:w="3458" w:type="dxa"/>
            <w:shd w:val="clear" w:color="auto" w:fill="auto"/>
          </w:tcPr>
          <w:p w14:paraId="21572DF1" w14:textId="77777777" w:rsidR="00D0012F" w:rsidRPr="00D0012F" w:rsidRDefault="00D0012F" w:rsidP="001A0059">
            <w:pPr>
              <w:pStyle w:val="Default"/>
              <w:ind w:right="386"/>
              <w:jc w:val="both"/>
            </w:pPr>
          </w:p>
        </w:tc>
        <w:tc>
          <w:tcPr>
            <w:tcW w:w="1470" w:type="dxa"/>
            <w:shd w:val="clear" w:color="auto" w:fill="BFBFBF"/>
          </w:tcPr>
          <w:p w14:paraId="288A2B27" w14:textId="77777777" w:rsidR="00D0012F" w:rsidRPr="001A0059" w:rsidRDefault="00D0012F" w:rsidP="00603607">
            <w:pPr>
              <w:pStyle w:val="Default"/>
              <w:ind w:right="34"/>
              <w:jc w:val="center"/>
              <w:rPr>
                <w:b/>
              </w:rPr>
            </w:pPr>
            <w:r w:rsidRPr="001A0059">
              <w:rPr>
                <w:b/>
              </w:rPr>
              <w:t>2017/18</w:t>
            </w:r>
          </w:p>
        </w:tc>
        <w:tc>
          <w:tcPr>
            <w:tcW w:w="1507" w:type="dxa"/>
            <w:shd w:val="clear" w:color="auto" w:fill="BFBFBF"/>
          </w:tcPr>
          <w:p w14:paraId="57A63E46" w14:textId="77777777" w:rsidR="00D0012F" w:rsidRPr="001A0059" w:rsidRDefault="00D0012F" w:rsidP="00603607">
            <w:pPr>
              <w:pStyle w:val="Default"/>
              <w:ind w:right="123"/>
              <w:jc w:val="center"/>
              <w:rPr>
                <w:b/>
              </w:rPr>
            </w:pPr>
            <w:r w:rsidRPr="001A0059">
              <w:rPr>
                <w:b/>
              </w:rPr>
              <w:t>2018/19</w:t>
            </w:r>
          </w:p>
        </w:tc>
        <w:tc>
          <w:tcPr>
            <w:tcW w:w="1470" w:type="dxa"/>
            <w:shd w:val="clear" w:color="auto" w:fill="BFBFBF"/>
          </w:tcPr>
          <w:p w14:paraId="1FAFEBBB" w14:textId="77777777" w:rsidR="00D0012F" w:rsidRPr="001A0059" w:rsidRDefault="00D0012F" w:rsidP="00603607">
            <w:pPr>
              <w:pStyle w:val="Default"/>
              <w:ind w:right="123"/>
              <w:jc w:val="center"/>
              <w:rPr>
                <w:b/>
              </w:rPr>
            </w:pPr>
            <w:r w:rsidRPr="001A0059">
              <w:rPr>
                <w:b/>
              </w:rPr>
              <w:t>2019/20</w:t>
            </w:r>
          </w:p>
        </w:tc>
        <w:tc>
          <w:tcPr>
            <w:tcW w:w="1490" w:type="dxa"/>
            <w:shd w:val="clear" w:color="auto" w:fill="BFBFBF"/>
          </w:tcPr>
          <w:p w14:paraId="3AF338C7" w14:textId="77777777" w:rsidR="00D0012F" w:rsidRPr="001A0059" w:rsidRDefault="00D0012F" w:rsidP="00603607">
            <w:pPr>
              <w:pStyle w:val="Default"/>
              <w:ind w:right="123"/>
              <w:jc w:val="center"/>
              <w:rPr>
                <w:b/>
              </w:rPr>
            </w:pPr>
            <w:r w:rsidRPr="001A0059">
              <w:rPr>
                <w:b/>
              </w:rPr>
              <w:t>2020/21</w:t>
            </w:r>
          </w:p>
        </w:tc>
      </w:tr>
      <w:tr w:rsidR="00D0012F" w:rsidRPr="00D0012F" w14:paraId="67CFDC18" w14:textId="77777777" w:rsidTr="001A0059">
        <w:tc>
          <w:tcPr>
            <w:tcW w:w="3458" w:type="dxa"/>
            <w:shd w:val="clear" w:color="auto" w:fill="auto"/>
          </w:tcPr>
          <w:p w14:paraId="71E1ED14" w14:textId="77777777" w:rsidR="00D0012F" w:rsidRPr="00D0012F" w:rsidRDefault="00D0012F" w:rsidP="001A0059">
            <w:pPr>
              <w:pStyle w:val="Default"/>
              <w:ind w:right="386"/>
              <w:jc w:val="both"/>
            </w:pPr>
          </w:p>
        </w:tc>
        <w:tc>
          <w:tcPr>
            <w:tcW w:w="1470" w:type="dxa"/>
            <w:shd w:val="clear" w:color="auto" w:fill="BFBFBF"/>
          </w:tcPr>
          <w:p w14:paraId="03511540" w14:textId="77777777" w:rsidR="00D0012F" w:rsidRPr="001A0059" w:rsidRDefault="00D0012F" w:rsidP="00603607">
            <w:pPr>
              <w:pStyle w:val="Default"/>
              <w:ind w:right="34"/>
              <w:jc w:val="center"/>
              <w:rPr>
                <w:b/>
              </w:rPr>
            </w:pPr>
            <w:r w:rsidRPr="001A0059">
              <w:rPr>
                <w:b/>
              </w:rPr>
              <w:t>£000’s</w:t>
            </w:r>
          </w:p>
        </w:tc>
        <w:tc>
          <w:tcPr>
            <w:tcW w:w="1507" w:type="dxa"/>
            <w:shd w:val="clear" w:color="auto" w:fill="BFBFBF"/>
          </w:tcPr>
          <w:p w14:paraId="58A8EAD3" w14:textId="77777777" w:rsidR="00D0012F" w:rsidRPr="001A0059" w:rsidRDefault="00D0012F" w:rsidP="00603607">
            <w:pPr>
              <w:pStyle w:val="Default"/>
              <w:ind w:right="123"/>
              <w:jc w:val="center"/>
              <w:rPr>
                <w:b/>
              </w:rPr>
            </w:pPr>
            <w:r w:rsidRPr="001A0059">
              <w:rPr>
                <w:b/>
              </w:rPr>
              <w:t>£000’s</w:t>
            </w:r>
          </w:p>
        </w:tc>
        <w:tc>
          <w:tcPr>
            <w:tcW w:w="1470" w:type="dxa"/>
            <w:shd w:val="clear" w:color="auto" w:fill="BFBFBF"/>
          </w:tcPr>
          <w:p w14:paraId="634591CB" w14:textId="77777777" w:rsidR="00D0012F" w:rsidRPr="001A0059" w:rsidRDefault="00D0012F" w:rsidP="00603607">
            <w:pPr>
              <w:pStyle w:val="Default"/>
              <w:ind w:right="123"/>
              <w:jc w:val="center"/>
              <w:rPr>
                <w:b/>
              </w:rPr>
            </w:pPr>
            <w:r w:rsidRPr="001A0059">
              <w:rPr>
                <w:b/>
              </w:rPr>
              <w:t>£000’s</w:t>
            </w:r>
          </w:p>
        </w:tc>
        <w:tc>
          <w:tcPr>
            <w:tcW w:w="1490" w:type="dxa"/>
            <w:shd w:val="clear" w:color="auto" w:fill="BFBFBF"/>
          </w:tcPr>
          <w:p w14:paraId="7EF71439" w14:textId="77777777" w:rsidR="00D0012F" w:rsidRPr="001A0059" w:rsidRDefault="00D0012F" w:rsidP="00603607">
            <w:pPr>
              <w:pStyle w:val="Default"/>
              <w:ind w:right="123"/>
              <w:jc w:val="center"/>
              <w:rPr>
                <w:b/>
              </w:rPr>
            </w:pPr>
            <w:r w:rsidRPr="001A0059">
              <w:rPr>
                <w:b/>
              </w:rPr>
              <w:t>£000’s</w:t>
            </w:r>
          </w:p>
        </w:tc>
      </w:tr>
      <w:tr w:rsidR="00D0012F" w:rsidRPr="00D0012F" w14:paraId="3AAAB74E" w14:textId="77777777" w:rsidTr="001A0059">
        <w:tc>
          <w:tcPr>
            <w:tcW w:w="3458" w:type="dxa"/>
            <w:shd w:val="clear" w:color="auto" w:fill="auto"/>
          </w:tcPr>
          <w:p w14:paraId="2C3B7BA2" w14:textId="77777777" w:rsidR="00D0012F" w:rsidRPr="001A0059" w:rsidRDefault="00C35200" w:rsidP="001A0059">
            <w:pPr>
              <w:pStyle w:val="Default"/>
              <w:ind w:right="386"/>
              <w:jc w:val="both"/>
              <w:rPr>
                <w:b/>
              </w:rPr>
            </w:pPr>
            <w:r>
              <w:rPr>
                <w:b/>
              </w:rPr>
              <w:t>Deleted Schemes</w:t>
            </w:r>
          </w:p>
        </w:tc>
        <w:tc>
          <w:tcPr>
            <w:tcW w:w="1470" w:type="dxa"/>
            <w:shd w:val="clear" w:color="auto" w:fill="auto"/>
          </w:tcPr>
          <w:p w14:paraId="0102B372" w14:textId="77777777" w:rsidR="00D0012F" w:rsidRPr="00D0012F" w:rsidRDefault="00D0012F" w:rsidP="001A0059">
            <w:pPr>
              <w:pStyle w:val="Default"/>
              <w:ind w:right="386"/>
              <w:jc w:val="both"/>
            </w:pPr>
          </w:p>
        </w:tc>
        <w:tc>
          <w:tcPr>
            <w:tcW w:w="1507" w:type="dxa"/>
            <w:shd w:val="clear" w:color="auto" w:fill="auto"/>
          </w:tcPr>
          <w:p w14:paraId="5FAADBBA" w14:textId="77777777" w:rsidR="00D0012F" w:rsidRPr="00D0012F" w:rsidRDefault="00D0012F" w:rsidP="001A0059">
            <w:pPr>
              <w:pStyle w:val="Default"/>
              <w:ind w:right="386"/>
              <w:jc w:val="both"/>
            </w:pPr>
          </w:p>
        </w:tc>
        <w:tc>
          <w:tcPr>
            <w:tcW w:w="1470" w:type="dxa"/>
            <w:shd w:val="clear" w:color="auto" w:fill="auto"/>
          </w:tcPr>
          <w:p w14:paraId="38BC5B12" w14:textId="77777777" w:rsidR="00D0012F" w:rsidRPr="00D0012F" w:rsidRDefault="00D0012F" w:rsidP="001A0059">
            <w:pPr>
              <w:pStyle w:val="Default"/>
              <w:ind w:right="386"/>
              <w:jc w:val="both"/>
            </w:pPr>
          </w:p>
        </w:tc>
        <w:tc>
          <w:tcPr>
            <w:tcW w:w="1490" w:type="dxa"/>
            <w:shd w:val="clear" w:color="auto" w:fill="auto"/>
          </w:tcPr>
          <w:p w14:paraId="2CFE8114" w14:textId="77777777" w:rsidR="00D0012F" w:rsidRPr="00D0012F" w:rsidRDefault="00D0012F" w:rsidP="001A0059">
            <w:pPr>
              <w:pStyle w:val="Default"/>
              <w:ind w:right="386"/>
              <w:jc w:val="both"/>
            </w:pPr>
          </w:p>
        </w:tc>
      </w:tr>
      <w:tr w:rsidR="00D0012F" w:rsidRPr="00D0012F" w14:paraId="6BCAA34C" w14:textId="77777777" w:rsidTr="001A0059">
        <w:tc>
          <w:tcPr>
            <w:tcW w:w="3458" w:type="dxa"/>
            <w:shd w:val="clear" w:color="auto" w:fill="auto"/>
          </w:tcPr>
          <w:p w14:paraId="4246F969" w14:textId="77777777" w:rsidR="00D0012F" w:rsidRPr="00D0012F" w:rsidRDefault="00D0012F" w:rsidP="001A0059">
            <w:pPr>
              <w:pStyle w:val="Default"/>
              <w:ind w:right="386"/>
              <w:jc w:val="both"/>
            </w:pPr>
            <w:r>
              <w:t>Solar bins</w:t>
            </w:r>
          </w:p>
        </w:tc>
        <w:tc>
          <w:tcPr>
            <w:tcW w:w="1470" w:type="dxa"/>
            <w:shd w:val="clear" w:color="auto" w:fill="auto"/>
          </w:tcPr>
          <w:p w14:paraId="37DB1553" w14:textId="77777777" w:rsidR="00D0012F" w:rsidRPr="00D0012F" w:rsidRDefault="00D0012F" w:rsidP="001A0059">
            <w:pPr>
              <w:pStyle w:val="Default"/>
              <w:ind w:right="386"/>
              <w:jc w:val="right"/>
            </w:pPr>
          </w:p>
        </w:tc>
        <w:tc>
          <w:tcPr>
            <w:tcW w:w="1507" w:type="dxa"/>
            <w:shd w:val="clear" w:color="auto" w:fill="auto"/>
          </w:tcPr>
          <w:p w14:paraId="6ACDE55F" w14:textId="77777777" w:rsidR="00D0012F" w:rsidRPr="00D0012F" w:rsidRDefault="00D0012F" w:rsidP="00603607">
            <w:pPr>
              <w:pStyle w:val="Default"/>
              <w:jc w:val="right"/>
            </w:pPr>
            <w:r>
              <w:t>(25)</w:t>
            </w:r>
          </w:p>
        </w:tc>
        <w:tc>
          <w:tcPr>
            <w:tcW w:w="1470" w:type="dxa"/>
            <w:shd w:val="clear" w:color="auto" w:fill="auto"/>
          </w:tcPr>
          <w:p w14:paraId="77E54DA4" w14:textId="77777777" w:rsidR="00D0012F" w:rsidRPr="00D0012F" w:rsidRDefault="00D0012F" w:rsidP="00603607">
            <w:pPr>
              <w:pStyle w:val="Default"/>
              <w:ind w:right="34"/>
              <w:jc w:val="right"/>
            </w:pPr>
          </w:p>
        </w:tc>
        <w:tc>
          <w:tcPr>
            <w:tcW w:w="1490" w:type="dxa"/>
            <w:shd w:val="clear" w:color="auto" w:fill="auto"/>
          </w:tcPr>
          <w:p w14:paraId="32E08E94" w14:textId="77777777" w:rsidR="00D0012F" w:rsidRPr="00D0012F" w:rsidRDefault="00D0012F" w:rsidP="00603607">
            <w:pPr>
              <w:pStyle w:val="Default"/>
              <w:jc w:val="right"/>
            </w:pPr>
          </w:p>
        </w:tc>
      </w:tr>
      <w:tr w:rsidR="00D0012F" w:rsidRPr="00D0012F" w14:paraId="4F9C16DC" w14:textId="77777777" w:rsidTr="001A0059">
        <w:tc>
          <w:tcPr>
            <w:tcW w:w="3458" w:type="dxa"/>
            <w:shd w:val="clear" w:color="auto" w:fill="auto"/>
          </w:tcPr>
          <w:p w14:paraId="57E78B27" w14:textId="77777777" w:rsidR="00D0012F" w:rsidRPr="00D0012F" w:rsidRDefault="00D0012F" w:rsidP="001A0059">
            <w:pPr>
              <w:pStyle w:val="Default"/>
              <w:ind w:right="386"/>
              <w:jc w:val="both"/>
            </w:pPr>
            <w:r>
              <w:t>Skateboard parks</w:t>
            </w:r>
          </w:p>
        </w:tc>
        <w:tc>
          <w:tcPr>
            <w:tcW w:w="1470" w:type="dxa"/>
            <w:shd w:val="clear" w:color="auto" w:fill="auto"/>
          </w:tcPr>
          <w:p w14:paraId="68D22A69" w14:textId="77777777" w:rsidR="00D0012F" w:rsidRPr="00D0012F" w:rsidRDefault="00D0012F" w:rsidP="001A0059">
            <w:pPr>
              <w:pStyle w:val="Default"/>
              <w:ind w:right="386"/>
              <w:jc w:val="right"/>
            </w:pPr>
          </w:p>
        </w:tc>
        <w:tc>
          <w:tcPr>
            <w:tcW w:w="1507" w:type="dxa"/>
            <w:shd w:val="clear" w:color="auto" w:fill="auto"/>
          </w:tcPr>
          <w:p w14:paraId="61B1F6C7" w14:textId="77777777" w:rsidR="00D0012F" w:rsidRPr="00D0012F" w:rsidRDefault="00D0012F" w:rsidP="00603607">
            <w:pPr>
              <w:pStyle w:val="Default"/>
              <w:jc w:val="right"/>
            </w:pPr>
          </w:p>
        </w:tc>
        <w:tc>
          <w:tcPr>
            <w:tcW w:w="1470" w:type="dxa"/>
            <w:shd w:val="clear" w:color="auto" w:fill="auto"/>
          </w:tcPr>
          <w:p w14:paraId="03551B12" w14:textId="77777777" w:rsidR="00D0012F" w:rsidRPr="00D0012F" w:rsidRDefault="00D0012F" w:rsidP="00603607">
            <w:pPr>
              <w:pStyle w:val="Default"/>
              <w:ind w:right="34"/>
              <w:jc w:val="right"/>
            </w:pPr>
            <w:r>
              <w:t>(70)</w:t>
            </w:r>
          </w:p>
        </w:tc>
        <w:tc>
          <w:tcPr>
            <w:tcW w:w="1490" w:type="dxa"/>
            <w:shd w:val="clear" w:color="auto" w:fill="auto"/>
          </w:tcPr>
          <w:p w14:paraId="72FC2ECB" w14:textId="77777777" w:rsidR="00D0012F" w:rsidRPr="00D0012F" w:rsidRDefault="00D0012F" w:rsidP="00603607">
            <w:pPr>
              <w:pStyle w:val="Default"/>
              <w:jc w:val="right"/>
            </w:pPr>
          </w:p>
        </w:tc>
      </w:tr>
      <w:tr w:rsidR="00D0012F" w:rsidRPr="00D0012F" w14:paraId="2DD05849" w14:textId="77777777" w:rsidTr="001A0059">
        <w:tc>
          <w:tcPr>
            <w:tcW w:w="3458" w:type="dxa"/>
            <w:shd w:val="clear" w:color="auto" w:fill="auto"/>
          </w:tcPr>
          <w:p w14:paraId="3225E318" w14:textId="77777777" w:rsidR="00D0012F" w:rsidRPr="00D0012F" w:rsidRDefault="00D0012F" w:rsidP="001A0059">
            <w:pPr>
              <w:pStyle w:val="Default"/>
              <w:ind w:right="386"/>
              <w:jc w:val="both"/>
            </w:pPr>
            <w:r>
              <w:t>Equity loans</w:t>
            </w:r>
          </w:p>
        </w:tc>
        <w:tc>
          <w:tcPr>
            <w:tcW w:w="1470" w:type="dxa"/>
            <w:shd w:val="clear" w:color="auto" w:fill="auto"/>
          </w:tcPr>
          <w:p w14:paraId="7285DC25" w14:textId="77777777" w:rsidR="00D0012F" w:rsidRPr="00D0012F" w:rsidRDefault="00D0012F" w:rsidP="001A0059">
            <w:pPr>
              <w:pStyle w:val="Default"/>
              <w:ind w:right="386"/>
              <w:jc w:val="right"/>
            </w:pPr>
          </w:p>
        </w:tc>
        <w:tc>
          <w:tcPr>
            <w:tcW w:w="1507" w:type="dxa"/>
            <w:shd w:val="clear" w:color="auto" w:fill="auto"/>
          </w:tcPr>
          <w:p w14:paraId="145B5BC6" w14:textId="77777777" w:rsidR="00D0012F" w:rsidRPr="00D0012F" w:rsidRDefault="00D0012F" w:rsidP="00603607">
            <w:pPr>
              <w:pStyle w:val="Default"/>
              <w:jc w:val="right"/>
            </w:pPr>
            <w:r>
              <w:t>(100)</w:t>
            </w:r>
          </w:p>
        </w:tc>
        <w:tc>
          <w:tcPr>
            <w:tcW w:w="1470" w:type="dxa"/>
            <w:shd w:val="clear" w:color="auto" w:fill="auto"/>
          </w:tcPr>
          <w:p w14:paraId="0FDC76CD" w14:textId="77777777" w:rsidR="00D0012F" w:rsidRPr="00D0012F" w:rsidRDefault="00D0012F" w:rsidP="00603607">
            <w:pPr>
              <w:pStyle w:val="Default"/>
              <w:ind w:right="34"/>
              <w:jc w:val="right"/>
            </w:pPr>
          </w:p>
        </w:tc>
        <w:tc>
          <w:tcPr>
            <w:tcW w:w="1490" w:type="dxa"/>
            <w:shd w:val="clear" w:color="auto" w:fill="auto"/>
          </w:tcPr>
          <w:p w14:paraId="17C64EF9" w14:textId="77777777" w:rsidR="00D0012F" w:rsidRPr="00D0012F" w:rsidRDefault="00D0012F" w:rsidP="00603607">
            <w:pPr>
              <w:pStyle w:val="Default"/>
              <w:jc w:val="right"/>
            </w:pPr>
          </w:p>
        </w:tc>
      </w:tr>
      <w:tr w:rsidR="00D0012F" w:rsidRPr="00D0012F" w14:paraId="642D50F7" w14:textId="77777777" w:rsidTr="001A0059">
        <w:tc>
          <w:tcPr>
            <w:tcW w:w="3458" w:type="dxa"/>
            <w:shd w:val="clear" w:color="auto" w:fill="auto"/>
          </w:tcPr>
          <w:p w14:paraId="2CD7BA58" w14:textId="77777777" w:rsidR="00D0012F" w:rsidRPr="00D0012F" w:rsidRDefault="00D0012F" w:rsidP="001A0059">
            <w:pPr>
              <w:pStyle w:val="Default"/>
              <w:ind w:right="386"/>
              <w:jc w:val="both"/>
            </w:pPr>
            <w:r>
              <w:t>Cemeteries</w:t>
            </w:r>
          </w:p>
        </w:tc>
        <w:tc>
          <w:tcPr>
            <w:tcW w:w="1470" w:type="dxa"/>
            <w:shd w:val="clear" w:color="auto" w:fill="auto"/>
          </w:tcPr>
          <w:p w14:paraId="6B1482EE" w14:textId="77777777" w:rsidR="00D0012F" w:rsidRPr="00D0012F" w:rsidRDefault="00D0012F" w:rsidP="001A0059">
            <w:pPr>
              <w:pStyle w:val="Default"/>
              <w:ind w:right="386"/>
              <w:jc w:val="right"/>
            </w:pPr>
          </w:p>
        </w:tc>
        <w:tc>
          <w:tcPr>
            <w:tcW w:w="1507" w:type="dxa"/>
            <w:shd w:val="clear" w:color="auto" w:fill="auto"/>
          </w:tcPr>
          <w:p w14:paraId="0CEFD0D0" w14:textId="77777777" w:rsidR="00D0012F" w:rsidRPr="00D0012F" w:rsidRDefault="00D0012F" w:rsidP="00603607">
            <w:pPr>
              <w:pStyle w:val="Default"/>
              <w:jc w:val="right"/>
            </w:pPr>
          </w:p>
        </w:tc>
        <w:tc>
          <w:tcPr>
            <w:tcW w:w="1470" w:type="dxa"/>
            <w:shd w:val="clear" w:color="auto" w:fill="auto"/>
          </w:tcPr>
          <w:p w14:paraId="672A61D9" w14:textId="77777777" w:rsidR="00D0012F" w:rsidRPr="00D0012F" w:rsidRDefault="003A45FF" w:rsidP="00603607">
            <w:pPr>
              <w:pStyle w:val="Default"/>
              <w:ind w:right="34"/>
              <w:jc w:val="right"/>
            </w:pPr>
            <w:r>
              <w:t>(750)</w:t>
            </w:r>
          </w:p>
        </w:tc>
        <w:tc>
          <w:tcPr>
            <w:tcW w:w="1490" w:type="dxa"/>
            <w:shd w:val="clear" w:color="auto" w:fill="auto"/>
          </w:tcPr>
          <w:p w14:paraId="5FF8BB10" w14:textId="77777777" w:rsidR="00D0012F" w:rsidRPr="00D0012F" w:rsidRDefault="003A45FF" w:rsidP="00603607">
            <w:pPr>
              <w:pStyle w:val="Default"/>
              <w:jc w:val="right"/>
            </w:pPr>
            <w:r>
              <w:t>(200)</w:t>
            </w:r>
          </w:p>
        </w:tc>
      </w:tr>
      <w:tr w:rsidR="00D0012F" w:rsidRPr="00D0012F" w14:paraId="2E070D4C" w14:textId="77777777" w:rsidTr="001A0059">
        <w:tc>
          <w:tcPr>
            <w:tcW w:w="3458" w:type="dxa"/>
            <w:shd w:val="clear" w:color="auto" w:fill="auto"/>
          </w:tcPr>
          <w:p w14:paraId="3988131C" w14:textId="77777777" w:rsidR="00D0012F" w:rsidRPr="00D0012F" w:rsidRDefault="003A45FF" w:rsidP="001A0059">
            <w:pPr>
              <w:pStyle w:val="Default"/>
              <w:ind w:right="386"/>
              <w:jc w:val="both"/>
            </w:pPr>
            <w:r>
              <w:t>Biomass store</w:t>
            </w:r>
          </w:p>
        </w:tc>
        <w:tc>
          <w:tcPr>
            <w:tcW w:w="1470" w:type="dxa"/>
            <w:shd w:val="clear" w:color="auto" w:fill="auto"/>
          </w:tcPr>
          <w:p w14:paraId="3451EAEB" w14:textId="77777777" w:rsidR="00D0012F" w:rsidRPr="00D0012F" w:rsidRDefault="00D0012F" w:rsidP="001A0059">
            <w:pPr>
              <w:pStyle w:val="Default"/>
              <w:ind w:right="386"/>
              <w:jc w:val="right"/>
            </w:pPr>
          </w:p>
        </w:tc>
        <w:tc>
          <w:tcPr>
            <w:tcW w:w="1507" w:type="dxa"/>
            <w:shd w:val="clear" w:color="auto" w:fill="auto"/>
          </w:tcPr>
          <w:p w14:paraId="45AE19BB" w14:textId="77777777" w:rsidR="00D0012F" w:rsidRPr="00D0012F" w:rsidRDefault="003A45FF" w:rsidP="00603607">
            <w:pPr>
              <w:pStyle w:val="Default"/>
              <w:jc w:val="right"/>
            </w:pPr>
            <w:r>
              <w:t>(53)</w:t>
            </w:r>
          </w:p>
        </w:tc>
        <w:tc>
          <w:tcPr>
            <w:tcW w:w="1470" w:type="dxa"/>
            <w:shd w:val="clear" w:color="auto" w:fill="auto"/>
          </w:tcPr>
          <w:p w14:paraId="431DE50A" w14:textId="77777777" w:rsidR="00D0012F" w:rsidRPr="00D0012F" w:rsidRDefault="00D0012F" w:rsidP="00603607">
            <w:pPr>
              <w:pStyle w:val="Default"/>
              <w:ind w:right="34"/>
              <w:jc w:val="right"/>
            </w:pPr>
          </w:p>
        </w:tc>
        <w:tc>
          <w:tcPr>
            <w:tcW w:w="1490" w:type="dxa"/>
            <w:shd w:val="clear" w:color="auto" w:fill="auto"/>
          </w:tcPr>
          <w:p w14:paraId="6CE87CC2" w14:textId="77777777" w:rsidR="00D0012F" w:rsidRPr="00D0012F" w:rsidRDefault="00D0012F" w:rsidP="00603607">
            <w:pPr>
              <w:pStyle w:val="Default"/>
              <w:jc w:val="right"/>
            </w:pPr>
          </w:p>
        </w:tc>
      </w:tr>
      <w:tr w:rsidR="003A45FF" w:rsidRPr="00D0012F" w14:paraId="4970864F" w14:textId="77777777" w:rsidTr="001A0059">
        <w:tc>
          <w:tcPr>
            <w:tcW w:w="3458" w:type="dxa"/>
            <w:shd w:val="clear" w:color="auto" w:fill="auto"/>
          </w:tcPr>
          <w:p w14:paraId="5F95E8F6" w14:textId="77777777" w:rsidR="003A45FF" w:rsidRDefault="003A45FF" w:rsidP="001A0059">
            <w:pPr>
              <w:pStyle w:val="Default"/>
              <w:ind w:right="386"/>
              <w:jc w:val="both"/>
            </w:pPr>
            <w:r>
              <w:t>Grants</w:t>
            </w:r>
          </w:p>
        </w:tc>
        <w:tc>
          <w:tcPr>
            <w:tcW w:w="1470" w:type="dxa"/>
            <w:shd w:val="clear" w:color="auto" w:fill="auto"/>
          </w:tcPr>
          <w:p w14:paraId="151702BB" w14:textId="77777777" w:rsidR="003A45FF" w:rsidRPr="00D0012F" w:rsidRDefault="003A45FF" w:rsidP="001A0059">
            <w:pPr>
              <w:pStyle w:val="Default"/>
              <w:ind w:right="386"/>
              <w:jc w:val="right"/>
            </w:pPr>
          </w:p>
        </w:tc>
        <w:tc>
          <w:tcPr>
            <w:tcW w:w="1507" w:type="dxa"/>
            <w:shd w:val="clear" w:color="auto" w:fill="auto"/>
          </w:tcPr>
          <w:p w14:paraId="2ED07FD9" w14:textId="77777777" w:rsidR="003A45FF" w:rsidRDefault="003A45FF" w:rsidP="00603607">
            <w:pPr>
              <w:pStyle w:val="Default"/>
              <w:jc w:val="right"/>
            </w:pPr>
            <w:r>
              <w:t>(25)</w:t>
            </w:r>
          </w:p>
        </w:tc>
        <w:tc>
          <w:tcPr>
            <w:tcW w:w="1470" w:type="dxa"/>
            <w:shd w:val="clear" w:color="auto" w:fill="auto"/>
          </w:tcPr>
          <w:p w14:paraId="0FC57F5A" w14:textId="77777777" w:rsidR="003A45FF" w:rsidRPr="00D0012F" w:rsidRDefault="003A45FF" w:rsidP="00603607">
            <w:pPr>
              <w:pStyle w:val="Default"/>
              <w:ind w:right="34"/>
              <w:jc w:val="right"/>
            </w:pPr>
            <w:r>
              <w:t>(25)</w:t>
            </w:r>
          </w:p>
        </w:tc>
        <w:tc>
          <w:tcPr>
            <w:tcW w:w="1490" w:type="dxa"/>
            <w:shd w:val="clear" w:color="auto" w:fill="auto"/>
          </w:tcPr>
          <w:p w14:paraId="26B3592B" w14:textId="77777777" w:rsidR="003A45FF" w:rsidRPr="00D0012F" w:rsidRDefault="003A45FF" w:rsidP="00603607">
            <w:pPr>
              <w:pStyle w:val="Default"/>
              <w:jc w:val="right"/>
            </w:pPr>
          </w:p>
        </w:tc>
      </w:tr>
      <w:tr w:rsidR="003A45FF" w:rsidRPr="00D0012F" w14:paraId="74369DDC" w14:textId="77777777" w:rsidTr="001A0059">
        <w:tc>
          <w:tcPr>
            <w:tcW w:w="3458" w:type="dxa"/>
            <w:shd w:val="clear" w:color="auto" w:fill="auto"/>
          </w:tcPr>
          <w:p w14:paraId="7CDD6DAC" w14:textId="77777777" w:rsidR="003A45FF" w:rsidRPr="001A0059" w:rsidRDefault="003A45FF" w:rsidP="001A0059">
            <w:pPr>
              <w:pStyle w:val="Default"/>
              <w:ind w:right="386"/>
              <w:jc w:val="both"/>
              <w:rPr>
                <w:b/>
              </w:rPr>
            </w:pPr>
            <w:r w:rsidRPr="001A0059">
              <w:rPr>
                <w:b/>
              </w:rPr>
              <w:t>Total</w:t>
            </w:r>
          </w:p>
        </w:tc>
        <w:tc>
          <w:tcPr>
            <w:tcW w:w="1470" w:type="dxa"/>
            <w:shd w:val="clear" w:color="auto" w:fill="auto"/>
          </w:tcPr>
          <w:p w14:paraId="55C54BAE" w14:textId="77777777" w:rsidR="003A45FF" w:rsidRPr="001A0059" w:rsidRDefault="003A45FF" w:rsidP="00C35200">
            <w:pPr>
              <w:pStyle w:val="Default"/>
              <w:ind w:right="34"/>
              <w:jc w:val="right"/>
              <w:rPr>
                <w:b/>
              </w:rPr>
            </w:pPr>
            <w:r w:rsidRPr="001A0059">
              <w:rPr>
                <w:b/>
              </w:rPr>
              <w:t>0</w:t>
            </w:r>
          </w:p>
        </w:tc>
        <w:tc>
          <w:tcPr>
            <w:tcW w:w="1507" w:type="dxa"/>
            <w:shd w:val="clear" w:color="auto" w:fill="auto"/>
          </w:tcPr>
          <w:p w14:paraId="0CF53725" w14:textId="77777777" w:rsidR="003A45FF" w:rsidRPr="001A0059" w:rsidRDefault="003A45FF" w:rsidP="00603607">
            <w:pPr>
              <w:pStyle w:val="Default"/>
              <w:jc w:val="right"/>
              <w:rPr>
                <w:b/>
              </w:rPr>
            </w:pPr>
            <w:r w:rsidRPr="001A0059">
              <w:rPr>
                <w:b/>
              </w:rPr>
              <w:t>(203)</w:t>
            </w:r>
          </w:p>
        </w:tc>
        <w:tc>
          <w:tcPr>
            <w:tcW w:w="1470" w:type="dxa"/>
            <w:shd w:val="clear" w:color="auto" w:fill="auto"/>
          </w:tcPr>
          <w:p w14:paraId="36512D41" w14:textId="77777777" w:rsidR="003A45FF" w:rsidRPr="001A0059" w:rsidRDefault="003A45FF" w:rsidP="00603607">
            <w:pPr>
              <w:pStyle w:val="Default"/>
              <w:ind w:right="34"/>
              <w:jc w:val="right"/>
              <w:rPr>
                <w:b/>
              </w:rPr>
            </w:pPr>
            <w:r w:rsidRPr="001A0059">
              <w:rPr>
                <w:b/>
              </w:rPr>
              <w:t>(845)</w:t>
            </w:r>
          </w:p>
        </w:tc>
        <w:tc>
          <w:tcPr>
            <w:tcW w:w="1490" w:type="dxa"/>
            <w:shd w:val="clear" w:color="auto" w:fill="auto"/>
          </w:tcPr>
          <w:p w14:paraId="6341F3E6" w14:textId="77777777" w:rsidR="003A45FF" w:rsidRPr="001A0059" w:rsidRDefault="003A45FF" w:rsidP="00603607">
            <w:pPr>
              <w:pStyle w:val="Default"/>
              <w:jc w:val="right"/>
              <w:rPr>
                <w:b/>
              </w:rPr>
            </w:pPr>
            <w:r w:rsidRPr="001A0059">
              <w:rPr>
                <w:b/>
              </w:rPr>
              <w:t>(200)</w:t>
            </w:r>
          </w:p>
        </w:tc>
      </w:tr>
      <w:tr w:rsidR="003A45FF" w:rsidRPr="00D0012F" w14:paraId="2E04291B" w14:textId="77777777" w:rsidTr="001A0059">
        <w:tc>
          <w:tcPr>
            <w:tcW w:w="3458" w:type="dxa"/>
            <w:shd w:val="clear" w:color="auto" w:fill="auto"/>
          </w:tcPr>
          <w:p w14:paraId="6E5302EC" w14:textId="77777777" w:rsidR="003A45FF" w:rsidRPr="001A0059" w:rsidRDefault="003A45FF" w:rsidP="001A0059">
            <w:pPr>
              <w:pStyle w:val="Default"/>
              <w:ind w:right="386"/>
              <w:jc w:val="both"/>
              <w:rPr>
                <w:b/>
              </w:rPr>
            </w:pPr>
            <w:r w:rsidRPr="001A0059">
              <w:rPr>
                <w:b/>
              </w:rPr>
              <w:t>New Bids</w:t>
            </w:r>
          </w:p>
        </w:tc>
        <w:tc>
          <w:tcPr>
            <w:tcW w:w="1470" w:type="dxa"/>
            <w:shd w:val="clear" w:color="auto" w:fill="auto"/>
          </w:tcPr>
          <w:p w14:paraId="01A3F746" w14:textId="77777777" w:rsidR="003A45FF" w:rsidRPr="00D0012F" w:rsidRDefault="003A45FF" w:rsidP="001A0059">
            <w:pPr>
              <w:pStyle w:val="Default"/>
              <w:ind w:right="386"/>
              <w:jc w:val="right"/>
            </w:pPr>
          </w:p>
        </w:tc>
        <w:tc>
          <w:tcPr>
            <w:tcW w:w="1507" w:type="dxa"/>
            <w:shd w:val="clear" w:color="auto" w:fill="auto"/>
          </w:tcPr>
          <w:p w14:paraId="0A51DC53" w14:textId="77777777" w:rsidR="003A45FF" w:rsidRDefault="003A45FF" w:rsidP="00603607">
            <w:pPr>
              <w:pStyle w:val="Default"/>
              <w:jc w:val="right"/>
            </w:pPr>
          </w:p>
        </w:tc>
        <w:tc>
          <w:tcPr>
            <w:tcW w:w="1470" w:type="dxa"/>
            <w:shd w:val="clear" w:color="auto" w:fill="auto"/>
          </w:tcPr>
          <w:p w14:paraId="017E0FDC" w14:textId="77777777" w:rsidR="003A45FF" w:rsidRPr="00D0012F" w:rsidRDefault="003A45FF" w:rsidP="00603607">
            <w:pPr>
              <w:pStyle w:val="Default"/>
              <w:ind w:right="34"/>
              <w:jc w:val="right"/>
            </w:pPr>
          </w:p>
        </w:tc>
        <w:tc>
          <w:tcPr>
            <w:tcW w:w="1490" w:type="dxa"/>
            <w:shd w:val="clear" w:color="auto" w:fill="auto"/>
          </w:tcPr>
          <w:p w14:paraId="5C331046" w14:textId="77777777" w:rsidR="003A45FF" w:rsidRPr="00D0012F" w:rsidRDefault="003A45FF" w:rsidP="00603607">
            <w:pPr>
              <w:pStyle w:val="Default"/>
              <w:jc w:val="right"/>
            </w:pPr>
          </w:p>
        </w:tc>
      </w:tr>
      <w:tr w:rsidR="003A45FF" w:rsidRPr="00D0012F" w14:paraId="2115C01D" w14:textId="77777777" w:rsidTr="001A0059">
        <w:tc>
          <w:tcPr>
            <w:tcW w:w="3458" w:type="dxa"/>
            <w:shd w:val="clear" w:color="auto" w:fill="auto"/>
          </w:tcPr>
          <w:p w14:paraId="70A9CC12" w14:textId="379F9BD7" w:rsidR="003A45FF" w:rsidRDefault="003A45FF" w:rsidP="0081108D">
            <w:pPr>
              <w:pStyle w:val="Default"/>
              <w:ind w:right="386"/>
              <w:jc w:val="both"/>
            </w:pPr>
            <w:r>
              <w:t xml:space="preserve">Community </w:t>
            </w:r>
            <w:proofErr w:type="spellStart"/>
            <w:r>
              <w:t>Centre</w:t>
            </w:r>
            <w:r w:rsidR="0081108D">
              <w:t>s</w:t>
            </w:r>
            <w:proofErr w:type="spellEnd"/>
            <w:r w:rsidR="007803C4">
              <w:t xml:space="preserve"> </w:t>
            </w:r>
          </w:p>
        </w:tc>
        <w:tc>
          <w:tcPr>
            <w:tcW w:w="1470" w:type="dxa"/>
            <w:shd w:val="clear" w:color="auto" w:fill="auto"/>
          </w:tcPr>
          <w:p w14:paraId="3D06B185" w14:textId="0B02D365" w:rsidR="003A45FF" w:rsidRPr="00D0012F" w:rsidRDefault="0081108D" w:rsidP="0081108D">
            <w:pPr>
              <w:pStyle w:val="Default"/>
              <w:jc w:val="right"/>
            </w:pPr>
            <w:r>
              <w:t>1,450</w:t>
            </w:r>
          </w:p>
        </w:tc>
        <w:tc>
          <w:tcPr>
            <w:tcW w:w="1507" w:type="dxa"/>
            <w:shd w:val="clear" w:color="auto" w:fill="auto"/>
          </w:tcPr>
          <w:p w14:paraId="44D51335" w14:textId="77777777" w:rsidR="003A45FF" w:rsidRDefault="003A45FF" w:rsidP="00603607">
            <w:pPr>
              <w:pStyle w:val="Default"/>
              <w:jc w:val="right"/>
            </w:pPr>
          </w:p>
        </w:tc>
        <w:tc>
          <w:tcPr>
            <w:tcW w:w="1470" w:type="dxa"/>
            <w:shd w:val="clear" w:color="auto" w:fill="auto"/>
          </w:tcPr>
          <w:p w14:paraId="3D4EB491" w14:textId="77777777" w:rsidR="003A45FF" w:rsidRPr="00D0012F" w:rsidRDefault="003A45FF" w:rsidP="00603607">
            <w:pPr>
              <w:pStyle w:val="Default"/>
              <w:ind w:right="34"/>
              <w:jc w:val="right"/>
            </w:pPr>
          </w:p>
        </w:tc>
        <w:tc>
          <w:tcPr>
            <w:tcW w:w="1490" w:type="dxa"/>
            <w:shd w:val="clear" w:color="auto" w:fill="auto"/>
          </w:tcPr>
          <w:p w14:paraId="0F71F020" w14:textId="77777777" w:rsidR="003A45FF" w:rsidRPr="00D0012F" w:rsidRDefault="003A45FF" w:rsidP="00603607">
            <w:pPr>
              <w:pStyle w:val="Default"/>
              <w:jc w:val="right"/>
            </w:pPr>
          </w:p>
        </w:tc>
      </w:tr>
      <w:tr w:rsidR="003A45FF" w:rsidRPr="00D0012F" w14:paraId="26ED05F5" w14:textId="77777777" w:rsidTr="001A0059">
        <w:tc>
          <w:tcPr>
            <w:tcW w:w="3458" w:type="dxa"/>
            <w:shd w:val="clear" w:color="auto" w:fill="auto"/>
          </w:tcPr>
          <w:p w14:paraId="07A6E616" w14:textId="77777777" w:rsidR="003A45FF" w:rsidRDefault="0078293D" w:rsidP="001A0059">
            <w:pPr>
              <w:pStyle w:val="Default"/>
              <w:ind w:right="386"/>
              <w:jc w:val="both"/>
            </w:pPr>
            <w:r>
              <w:t>Oatlands recreation ground</w:t>
            </w:r>
          </w:p>
        </w:tc>
        <w:tc>
          <w:tcPr>
            <w:tcW w:w="1470" w:type="dxa"/>
            <w:shd w:val="clear" w:color="auto" w:fill="auto"/>
          </w:tcPr>
          <w:p w14:paraId="28D597E2" w14:textId="77777777" w:rsidR="003A45FF" w:rsidRPr="00D0012F" w:rsidRDefault="0078293D" w:rsidP="00603607">
            <w:pPr>
              <w:pStyle w:val="Default"/>
              <w:ind w:right="34"/>
              <w:jc w:val="right"/>
            </w:pPr>
            <w:r>
              <w:t>75</w:t>
            </w:r>
          </w:p>
        </w:tc>
        <w:tc>
          <w:tcPr>
            <w:tcW w:w="1507" w:type="dxa"/>
            <w:shd w:val="clear" w:color="auto" w:fill="auto"/>
          </w:tcPr>
          <w:p w14:paraId="2530944B" w14:textId="77777777" w:rsidR="003A45FF" w:rsidRDefault="003A45FF" w:rsidP="00603607">
            <w:pPr>
              <w:pStyle w:val="Default"/>
              <w:jc w:val="right"/>
            </w:pPr>
          </w:p>
        </w:tc>
        <w:tc>
          <w:tcPr>
            <w:tcW w:w="1470" w:type="dxa"/>
            <w:shd w:val="clear" w:color="auto" w:fill="auto"/>
          </w:tcPr>
          <w:p w14:paraId="53B5B6E5" w14:textId="77777777" w:rsidR="003A45FF" w:rsidRPr="00D0012F" w:rsidRDefault="003A45FF" w:rsidP="00603607">
            <w:pPr>
              <w:pStyle w:val="Default"/>
              <w:ind w:right="34"/>
              <w:jc w:val="right"/>
            </w:pPr>
          </w:p>
        </w:tc>
        <w:tc>
          <w:tcPr>
            <w:tcW w:w="1490" w:type="dxa"/>
            <w:shd w:val="clear" w:color="auto" w:fill="auto"/>
          </w:tcPr>
          <w:p w14:paraId="7D364B20" w14:textId="77777777" w:rsidR="003A45FF" w:rsidRPr="00D0012F" w:rsidRDefault="003A45FF" w:rsidP="00603607">
            <w:pPr>
              <w:pStyle w:val="Default"/>
              <w:jc w:val="right"/>
            </w:pPr>
          </w:p>
        </w:tc>
      </w:tr>
      <w:tr w:rsidR="003A45FF" w:rsidRPr="00D0012F" w14:paraId="7909B320" w14:textId="77777777" w:rsidTr="001A0059">
        <w:tc>
          <w:tcPr>
            <w:tcW w:w="3458" w:type="dxa"/>
            <w:shd w:val="clear" w:color="auto" w:fill="auto"/>
          </w:tcPr>
          <w:p w14:paraId="6E0A613E" w14:textId="631B6781" w:rsidR="003A45FF" w:rsidRDefault="0078293D" w:rsidP="001A0059">
            <w:pPr>
              <w:pStyle w:val="Default"/>
              <w:ind w:right="386"/>
              <w:jc w:val="both"/>
            </w:pPr>
            <w:proofErr w:type="spellStart"/>
            <w:r>
              <w:t>Seacourt</w:t>
            </w:r>
            <w:proofErr w:type="spellEnd"/>
            <w:r>
              <w:t xml:space="preserve"> </w:t>
            </w:r>
            <w:r w:rsidR="00A90318">
              <w:t>park and ride</w:t>
            </w:r>
            <w:r w:rsidR="009E1C3C">
              <w:t xml:space="preserve"> (1)</w:t>
            </w:r>
          </w:p>
        </w:tc>
        <w:tc>
          <w:tcPr>
            <w:tcW w:w="1470" w:type="dxa"/>
            <w:shd w:val="clear" w:color="auto" w:fill="auto"/>
          </w:tcPr>
          <w:p w14:paraId="1F416E2D" w14:textId="77777777" w:rsidR="003A45FF" w:rsidRPr="00D0012F" w:rsidRDefault="00B835F6" w:rsidP="00603607">
            <w:pPr>
              <w:pStyle w:val="Default"/>
              <w:ind w:right="34"/>
              <w:jc w:val="right"/>
            </w:pPr>
            <w:r>
              <w:t>1,500</w:t>
            </w:r>
          </w:p>
        </w:tc>
        <w:tc>
          <w:tcPr>
            <w:tcW w:w="1507" w:type="dxa"/>
            <w:shd w:val="clear" w:color="auto" w:fill="auto"/>
          </w:tcPr>
          <w:p w14:paraId="2C2C887E" w14:textId="77777777" w:rsidR="003A45FF" w:rsidRDefault="00B835F6" w:rsidP="00603607">
            <w:pPr>
              <w:pStyle w:val="Default"/>
              <w:jc w:val="right"/>
            </w:pPr>
            <w:r>
              <w:t>5</w:t>
            </w:r>
            <w:r w:rsidR="0078293D">
              <w:t>00</w:t>
            </w:r>
          </w:p>
        </w:tc>
        <w:tc>
          <w:tcPr>
            <w:tcW w:w="1470" w:type="dxa"/>
            <w:shd w:val="clear" w:color="auto" w:fill="auto"/>
          </w:tcPr>
          <w:p w14:paraId="437D22F0" w14:textId="77777777" w:rsidR="003A45FF" w:rsidRPr="00D0012F" w:rsidRDefault="003A45FF" w:rsidP="00603607">
            <w:pPr>
              <w:pStyle w:val="Default"/>
              <w:ind w:right="34"/>
              <w:jc w:val="right"/>
            </w:pPr>
          </w:p>
        </w:tc>
        <w:tc>
          <w:tcPr>
            <w:tcW w:w="1490" w:type="dxa"/>
            <w:shd w:val="clear" w:color="auto" w:fill="auto"/>
          </w:tcPr>
          <w:p w14:paraId="32B230DF" w14:textId="77777777" w:rsidR="003A45FF" w:rsidRPr="00D0012F" w:rsidRDefault="003A45FF" w:rsidP="00603607">
            <w:pPr>
              <w:pStyle w:val="Default"/>
              <w:jc w:val="right"/>
            </w:pPr>
          </w:p>
        </w:tc>
      </w:tr>
      <w:tr w:rsidR="00A90318" w:rsidRPr="00D0012F" w14:paraId="05BC655B" w14:textId="77777777" w:rsidTr="001A0059">
        <w:tc>
          <w:tcPr>
            <w:tcW w:w="3458" w:type="dxa"/>
            <w:shd w:val="clear" w:color="auto" w:fill="auto"/>
          </w:tcPr>
          <w:p w14:paraId="0429C3D8" w14:textId="3A4C1A77" w:rsidR="00A90318" w:rsidRDefault="00A90318" w:rsidP="001A0059">
            <w:pPr>
              <w:pStyle w:val="Default"/>
              <w:ind w:right="386"/>
              <w:jc w:val="both"/>
            </w:pPr>
            <w:r>
              <w:t>Purchase of properties for homeless</w:t>
            </w:r>
            <w:r w:rsidR="009E1C3C">
              <w:t xml:space="preserve"> (2)</w:t>
            </w:r>
          </w:p>
        </w:tc>
        <w:tc>
          <w:tcPr>
            <w:tcW w:w="1470" w:type="dxa"/>
            <w:shd w:val="clear" w:color="auto" w:fill="auto"/>
          </w:tcPr>
          <w:p w14:paraId="514AFAA0" w14:textId="77777777" w:rsidR="00A90318" w:rsidRPr="00D0012F" w:rsidRDefault="00A90318" w:rsidP="00603607">
            <w:pPr>
              <w:pStyle w:val="Default"/>
              <w:ind w:right="34"/>
              <w:jc w:val="right"/>
            </w:pPr>
            <w:r>
              <w:t>10,000</w:t>
            </w:r>
          </w:p>
        </w:tc>
        <w:tc>
          <w:tcPr>
            <w:tcW w:w="1507" w:type="dxa"/>
            <w:shd w:val="clear" w:color="auto" w:fill="auto"/>
          </w:tcPr>
          <w:p w14:paraId="447DBF11" w14:textId="77777777" w:rsidR="00A90318" w:rsidRDefault="00A90318" w:rsidP="00603607">
            <w:pPr>
              <w:pStyle w:val="Default"/>
              <w:jc w:val="right"/>
            </w:pPr>
          </w:p>
        </w:tc>
        <w:tc>
          <w:tcPr>
            <w:tcW w:w="1470" w:type="dxa"/>
            <w:shd w:val="clear" w:color="auto" w:fill="auto"/>
          </w:tcPr>
          <w:p w14:paraId="2717BB14" w14:textId="77777777" w:rsidR="00A90318" w:rsidRPr="00D0012F" w:rsidRDefault="00A90318" w:rsidP="00603607">
            <w:pPr>
              <w:pStyle w:val="Default"/>
              <w:ind w:right="34"/>
              <w:jc w:val="right"/>
            </w:pPr>
          </w:p>
        </w:tc>
        <w:tc>
          <w:tcPr>
            <w:tcW w:w="1490" w:type="dxa"/>
            <w:shd w:val="clear" w:color="auto" w:fill="auto"/>
          </w:tcPr>
          <w:p w14:paraId="5470C82E" w14:textId="77777777" w:rsidR="00A90318" w:rsidRPr="00D0012F" w:rsidRDefault="00A90318" w:rsidP="00603607">
            <w:pPr>
              <w:pStyle w:val="Default"/>
              <w:jc w:val="right"/>
            </w:pPr>
          </w:p>
        </w:tc>
      </w:tr>
      <w:tr w:rsidR="00A90318" w:rsidRPr="00D0012F" w14:paraId="4080998C" w14:textId="77777777" w:rsidTr="001A0059">
        <w:tc>
          <w:tcPr>
            <w:tcW w:w="3458" w:type="dxa"/>
            <w:shd w:val="clear" w:color="auto" w:fill="auto"/>
          </w:tcPr>
          <w:p w14:paraId="278902F7" w14:textId="5E01E2A2" w:rsidR="00A90318" w:rsidRDefault="00A90318" w:rsidP="001A0059">
            <w:pPr>
              <w:pStyle w:val="Default"/>
              <w:ind w:right="386"/>
              <w:jc w:val="both"/>
            </w:pPr>
            <w:r>
              <w:t>Recycling transfer station</w:t>
            </w:r>
            <w:r w:rsidR="009E1C3C">
              <w:t xml:space="preserve"> (3)</w:t>
            </w:r>
          </w:p>
        </w:tc>
        <w:tc>
          <w:tcPr>
            <w:tcW w:w="1470" w:type="dxa"/>
            <w:shd w:val="clear" w:color="auto" w:fill="auto"/>
          </w:tcPr>
          <w:p w14:paraId="4E438C54" w14:textId="77777777" w:rsidR="00A90318" w:rsidRPr="00D0012F" w:rsidRDefault="00A90318" w:rsidP="00603607">
            <w:pPr>
              <w:pStyle w:val="Default"/>
              <w:ind w:right="34"/>
              <w:jc w:val="right"/>
            </w:pPr>
            <w:r>
              <w:t>968</w:t>
            </w:r>
          </w:p>
        </w:tc>
        <w:tc>
          <w:tcPr>
            <w:tcW w:w="1507" w:type="dxa"/>
            <w:shd w:val="clear" w:color="auto" w:fill="auto"/>
          </w:tcPr>
          <w:p w14:paraId="106B611D" w14:textId="77777777" w:rsidR="00A90318" w:rsidRDefault="00A90318" w:rsidP="00603607">
            <w:pPr>
              <w:pStyle w:val="Default"/>
              <w:jc w:val="right"/>
            </w:pPr>
          </w:p>
        </w:tc>
        <w:tc>
          <w:tcPr>
            <w:tcW w:w="1470" w:type="dxa"/>
            <w:shd w:val="clear" w:color="auto" w:fill="auto"/>
          </w:tcPr>
          <w:p w14:paraId="02794CE9" w14:textId="77777777" w:rsidR="00A90318" w:rsidRPr="00D0012F" w:rsidRDefault="00A90318" w:rsidP="00603607">
            <w:pPr>
              <w:pStyle w:val="Default"/>
              <w:ind w:right="34"/>
              <w:jc w:val="right"/>
            </w:pPr>
          </w:p>
        </w:tc>
        <w:tc>
          <w:tcPr>
            <w:tcW w:w="1490" w:type="dxa"/>
            <w:shd w:val="clear" w:color="auto" w:fill="auto"/>
          </w:tcPr>
          <w:p w14:paraId="0288430A" w14:textId="77777777" w:rsidR="00A90318" w:rsidRPr="00D0012F" w:rsidRDefault="00A90318" w:rsidP="00603607">
            <w:pPr>
              <w:pStyle w:val="Default"/>
              <w:jc w:val="right"/>
            </w:pPr>
          </w:p>
        </w:tc>
      </w:tr>
      <w:tr w:rsidR="00A90318" w:rsidRPr="00D0012F" w14:paraId="70B39482" w14:textId="77777777" w:rsidTr="001A0059">
        <w:tc>
          <w:tcPr>
            <w:tcW w:w="3458" w:type="dxa"/>
            <w:shd w:val="clear" w:color="auto" w:fill="auto"/>
          </w:tcPr>
          <w:p w14:paraId="208F6234" w14:textId="77777777" w:rsidR="00A90318" w:rsidRDefault="00A90318" w:rsidP="001A0059">
            <w:pPr>
              <w:pStyle w:val="Default"/>
              <w:ind w:right="386"/>
              <w:jc w:val="both"/>
            </w:pPr>
            <w:r>
              <w:t>Refuse freighter</w:t>
            </w:r>
          </w:p>
        </w:tc>
        <w:tc>
          <w:tcPr>
            <w:tcW w:w="1470" w:type="dxa"/>
            <w:shd w:val="clear" w:color="auto" w:fill="auto"/>
          </w:tcPr>
          <w:p w14:paraId="37B728A0" w14:textId="77777777" w:rsidR="00A90318" w:rsidRPr="00D0012F" w:rsidRDefault="00A90318" w:rsidP="00603607">
            <w:pPr>
              <w:pStyle w:val="Default"/>
              <w:ind w:right="34"/>
              <w:jc w:val="right"/>
            </w:pPr>
            <w:r>
              <w:t>185</w:t>
            </w:r>
          </w:p>
        </w:tc>
        <w:tc>
          <w:tcPr>
            <w:tcW w:w="1507" w:type="dxa"/>
            <w:shd w:val="clear" w:color="auto" w:fill="auto"/>
          </w:tcPr>
          <w:p w14:paraId="089E63C3" w14:textId="77777777" w:rsidR="00A90318" w:rsidRDefault="00A90318" w:rsidP="00603607">
            <w:pPr>
              <w:pStyle w:val="Default"/>
              <w:jc w:val="right"/>
            </w:pPr>
          </w:p>
        </w:tc>
        <w:tc>
          <w:tcPr>
            <w:tcW w:w="1470" w:type="dxa"/>
            <w:shd w:val="clear" w:color="auto" w:fill="auto"/>
          </w:tcPr>
          <w:p w14:paraId="3F65D6F4" w14:textId="77777777" w:rsidR="00A90318" w:rsidRPr="00D0012F" w:rsidRDefault="00A90318" w:rsidP="00603607">
            <w:pPr>
              <w:pStyle w:val="Default"/>
              <w:ind w:right="34"/>
              <w:jc w:val="right"/>
            </w:pPr>
          </w:p>
        </w:tc>
        <w:tc>
          <w:tcPr>
            <w:tcW w:w="1490" w:type="dxa"/>
            <w:shd w:val="clear" w:color="auto" w:fill="auto"/>
          </w:tcPr>
          <w:p w14:paraId="40F42170" w14:textId="77777777" w:rsidR="00A90318" w:rsidRPr="00D0012F" w:rsidRDefault="00A90318" w:rsidP="00603607">
            <w:pPr>
              <w:pStyle w:val="Default"/>
              <w:jc w:val="right"/>
            </w:pPr>
          </w:p>
        </w:tc>
      </w:tr>
      <w:tr w:rsidR="00A90318" w:rsidRPr="00D0012F" w14:paraId="6DD4CD17" w14:textId="77777777" w:rsidTr="001A0059">
        <w:tc>
          <w:tcPr>
            <w:tcW w:w="3458" w:type="dxa"/>
            <w:shd w:val="clear" w:color="auto" w:fill="auto"/>
          </w:tcPr>
          <w:p w14:paraId="345542BA" w14:textId="77777777" w:rsidR="00A90318" w:rsidRDefault="00A90318" w:rsidP="001A0059">
            <w:pPr>
              <w:pStyle w:val="Default"/>
              <w:ind w:right="386"/>
              <w:jc w:val="both"/>
            </w:pPr>
            <w:r>
              <w:t>Local Area network</w:t>
            </w:r>
          </w:p>
        </w:tc>
        <w:tc>
          <w:tcPr>
            <w:tcW w:w="1470" w:type="dxa"/>
            <w:shd w:val="clear" w:color="auto" w:fill="auto"/>
          </w:tcPr>
          <w:p w14:paraId="45EDAB04" w14:textId="77777777" w:rsidR="00A90318" w:rsidRPr="00D0012F" w:rsidRDefault="00A90318" w:rsidP="00603607">
            <w:pPr>
              <w:pStyle w:val="Default"/>
              <w:ind w:right="34"/>
              <w:jc w:val="right"/>
            </w:pPr>
            <w:r>
              <w:t>90</w:t>
            </w:r>
          </w:p>
        </w:tc>
        <w:tc>
          <w:tcPr>
            <w:tcW w:w="1507" w:type="dxa"/>
            <w:shd w:val="clear" w:color="auto" w:fill="auto"/>
          </w:tcPr>
          <w:p w14:paraId="49C6A34D" w14:textId="77777777" w:rsidR="00A90318" w:rsidRDefault="00A90318" w:rsidP="00603607">
            <w:pPr>
              <w:pStyle w:val="Default"/>
              <w:jc w:val="right"/>
            </w:pPr>
          </w:p>
        </w:tc>
        <w:tc>
          <w:tcPr>
            <w:tcW w:w="1470" w:type="dxa"/>
            <w:shd w:val="clear" w:color="auto" w:fill="auto"/>
          </w:tcPr>
          <w:p w14:paraId="64739B8F" w14:textId="77777777" w:rsidR="00A90318" w:rsidRPr="00D0012F" w:rsidRDefault="00A90318" w:rsidP="00603607">
            <w:pPr>
              <w:pStyle w:val="Default"/>
              <w:ind w:right="34"/>
              <w:jc w:val="right"/>
            </w:pPr>
          </w:p>
        </w:tc>
        <w:tc>
          <w:tcPr>
            <w:tcW w:w="1490" w:type="dxa"/>
            <w:shd w:val="clear" w:color="auto" w:fill="auto"/>
          </w:tcPr>
          <w:p w14:paraId="4223ADF1" w14:textId="77777777" w:rsidR="00A90318" w:rsidRPr="00D0012F" w:rsidRDefault="00A90318" w:rsidP="00603607">
            <w:pPr>
              <w:pStyle w:val="Default"/>
              <w:jc w:val="right"/>
            </w:pPr>
          </w:p>
        </w:tc>
      </w:tr>
      <w:tr w:rsidR="00A90318" w:rsidRPr="00D0012F" w14:paraId="289149F4" w14:textId="77777777" w:rsidTr="001A0059">
        <w:tc>
          <w:tcPr>
            <w:tcW w:w="3458" w:type="dxa"/>
            <w:shd w:val="clear" w:color="auto" w:fill="auto"/>
          </w:tcPr>
          <w:p w14:paraId="17CCE3B1" w14:textId="77777777" w:rsidR="00A90318" w:rsidRDefault="00A90318" w:rsidP="001A0059">
            <w:pPr>
              <w:pStyle w:val="Default"/>
              <w:ind w:right="386"/>
              <w:jc w:val="both"/>
            </w:pPr>
            <w:r>
              <w:t>Web chat</w:t>
            </w:r>
          </w:p>
        </w:tc>
        <w:tc>
          <w:tcPr>
            <w:tcW w:w="1470" w:type="dxa"/>
            <w:shd w:val="clear" w:color="auto" w:fill="auto"/>
          </w:tcPr>
          <w:p w14:paraId="2A47CC5A" w14:textId="77777777" w:rsidR="00A90318" w:rsidRPr="00D0012F" w:rsidRDefault="00A90318" w:rsidP="00603607">
            <w:pPr>
              <w:pStyle w:val="Default"/>
              <w:ind w:right="34"/>
              <w:jc w:val="right"/>
            </w:pPr>
            <w:r>
              <w:t>20</w:t>
            </w:r>
          </w:p>
        </w:tc>
        <w:tc>
          <w:tcPr>
            <w:tcW w:w="1507" w:type="dxa"/>
            <w:shd w:val="clear" w:color="auto" w:fill="auto"/>
          </w:tcPr>
          <w:p w14:paraId="1F776460" w14:textId="77777777" w:rsidR="00A90318" w:rsidRDefault="00A90318" w:rsidP="00603607">
            <w:pPr>
              <w:pStyle w:val="Default"/>
              <w:jc w:val="right"/>
            </w:pPr>
            <w:r>
              <w:t>5</w:t>
            </w:r>
          </w:p>
        </w:tc>
        <w:tc>
          <w:tcPr>
            <w:tcW w:w="1470" w:type="dxa"/>
            <w:shd w:val="clear" w:color="auto" w:fill="auto"/>
          </w:tcPr>
          <w:p w14:paraId="42527BE2" w14:textId="77777777" w:rsidR="00A90318" w:rsidRPr="00D0012F" w:rsidRDefault="00A90318" w:rsidP="00603607">
            <w:pPr>
              <w:pStyle w:val="Default"/>
              <w:ind w:right="34"/>
              <w:jc w:val="right"/>
            </w:pPr>
            <w:r>
              <w:t>5</w:t>
            </w:r>
          </w:p>
        </w:tc>
        <w:tc>
          <w:tcPr>
            <w:tcW w:w="1490" w:type="dxa"/>
            <w:shd w:val="clear" w:color="auto" w:fill="auto"/>
          </w:tcPr>
          <w:p w14:paraId="7167721A" w14:textId="77777777" w:rsidR="00A90318" w:rsidRPr="00D0012F" w:rsidRDefault="00A90318" w:rsidP="00603607">
            <w:pPr>
              <w:pStyle w:val="Default"/>
              <w:jc w:val="right"/>
            </w:pPr>
            <w:r>
              <w:t>5</w:t>
            </w:r>
          </w:p>
        </w:tc>
      </w:tr>
      <w:tr w:rsidR="00A90318" w:rsidRPr="00D0012F" w14:paraId="1A35E6A0" w14:textId="77777777" w:rsidTr="001A0059">
        <w:tc>
          <w:tcPr>
            <w:tcW w:w="3458" w:type="dxa"/>
            <w:shd w:val="clear" w:color="auto" w:fill="auto"/>
          </w:tcPr>
          <w:p w14:paraId="68CEEEE1" w14:textId="4CB27EB9" w:rsidR="00A90318" w:rsidRDefault="00E01737" w:rsidP="001A0059">
            <w:pPr>
              <w:pStyle w:val="Default"/>
              <w:ind w:right="386"/>
              <w:jc w:val="both"/>
            </w:pPr>
            <w:r>
              <w:t xml:space="preserve">Purchase of leasehold </w:t>
            </w:r>
            <w:r>
              <w:lastRenderedPageBreak/>
              <w:t>property</w:t>
            </w:r>
            <w:r w:rsidR="009E1C3C">
              <w:t xml:space="preserve"> (4)</w:t>
            </w:r>
          </w:p>
        </w:tc>
        <w:tc>
          <w:tcPr>
            <w:tcW w:w="1470" w:type="dxa"/>
            <w:shd w:val="clear" w:color="auto" w:fill="auto"/>
          </w:tcPr>
          <w:p w14:paraId="65AF1463" w14:textId="77777777" w:rsidR="00A90318" w:rsidRPr="00D0012F" w:rsidRDefault="00E01737" w:rsidP="00603607">
            <w:pPr>
              <w:pStyle w:val="Default"/>
              <w:ind w:right="34"/>
              <w:jc w:val="right"/>
            </w:pPr>
            <w:r>
              <w:lastRenderedPageBreak/>
              <w:t>1,000</w:t>
            </w:r>
          </w:p>
        </w:tc>
        <w:tc>
          <w:tcPr>
            <w:tcW w:w="1507" w:type="dxa"/>
            <w:shd w:val="clear" w:color="auto" w:fill="auto"/>
          </w:tcPr>
          <w:p w14:paraId="08AE1454" w14:textId="77777777" w:rsidR="00A90318" w:rsidRDefault="00A90318" w:rsidP="00603607">
            <w:pPr>
              <w:pStyle w:val="Default"/>
              <w:jc w:val="right"/>
            </w:pPr>
          </w:p>
        </w:tc>
        <w:tc>
          <w:tcPr>
            <w:tcW w:w="1470" w:type="dxa"/>
            <w:shd w:val="clear" w:color="auto" w:fill="auto"/>
          </w:tcPr>
          <w:p w14:paraId="194E7F62" w14:textId="77777777" w:rsidR="00A90318" w:rsidRPr="00D0012F" w:rsidRDefault="00A90318" w:rsidP="00603607">
            <w:pPr>
              <w:pStyle w:val="Default"/>
              <w:ind w:right="34"/>
              <w:jc w:val="right"/>
            </w:pPr>
          </w:p>
        </w:tc>
        <w:tc>
          <w:tcPr>
            <w:tcW w:w="1490" w:type="dxa"/>
            <w:shd w:val="clear" w:color="auto" w:fill="auto"/>
          </w:tcPr>
          <w:p w14:paraId="73799429" w14:textId="77777777" w:rsidR="00A90318" w:rsidRPr="00D0012F" w:rsidRDefault="00A90318" w:rsidP="00603607">
            <w:pPr>
              <w:pStyle w:val="Default"/>
              <w:jc w:val="right"/>
            </w:pPr>
          </w:p>
        </w:tc>
      </w:tr>
      <w:tr w:rsidR="00E01737" w:rsidRPr="00D0012F" w14:paraId="4197DC67" w14:textId="77777777" w:rsidTr="001A0059">
        <w:tc>
          <w:tcPr>
            <w:tcW w:w="3458" w:type="dxa"/>
            <w:shd w:val="clear" w:color="auto" w:fill="auto"/>
          </w:tcPr>
          <w:p w14:paraId="20DD5A2C" w14:textId="5C093B73" w:rsidR="00E01737" w:rsidRDefault="00A932E4" w:rsidP="009E1C3C">
            <w:pPr>
              <w:pStyle w:val="Default"/>
              <w:ind w:right="386"/>
              <w:jc w:val="both"/>
            </w:pPr>
            <w:r>
              <w:lastRenderedPageBreak/>
              <w:t>Feasibility study and technical investigations</w:t>
            </w:r>
            <w:r w:rsidR="009E1C3C">
              <w:t xml:space="preserve"> (5)</w:t>
            </w:r>
          </w:p>
        </w:tc>
        <w:tc>
          <w:tcPr>
            <w:tcW w:w="1470" w:type="dxa"/>
            <w:shd w:val="clear" w:color="auto" w:fill="auto"/>
          </w:tcPr>
          <w:p w14:paraId="66D91FDA" w14:textId="77777777" w:rsidR="00E01737" w:rsidRPr="00D0012F" w:rsidRDefault="00E01737" w:rsidP="00603607">
            <w:pPr>
              <w:pStyle w:val="Default"/>
              <w:ind w:right="34"/>
              <w:jc w:val="right"/>
            </w:pPr>
            <w:r>
              <w:t>250</w:t>
            </w:r>
          </w:p>
        </w:tc>
        <w:tc>
          <w:tcPr>
            <w:tcW w:w="1507" w:type="dxa"/>
            <w:shd w:val="clear" w:color="auto" w:fill="auto"/>
          </w:tcPr>
          <w:p w14:paraId="32A7CE2E" w14:textId="77777777" w:rsidR="00E01737" w:rsidRDefault="00E01737" w:rsidP="00603607">
            <w:pPr>
              <w:pStyle w:val="Default"/>
              <w:jc w:val="right"/>
            </w:pPr>
          </w:p>
        </w:tc>
        <w:tc>
          <w:tcPr>
            <w:tcW w:w="1470" w:type="dxa"/>
            <w:shd w:val="clear" w:color="auto" w:fill="auto"/>
          </w:tcPr>
          <w:p w14:paraId="6A9D8856" w14:textId="77777777" w:rsidR="00E01737" w:rsidRPr="00D0012F" w:rsidRDefault="00E01737" w:rsidP="00603607">
            <w:pPr>
              <w:pStyle w:val="Default"/>
              <w:ind w:right="34"/>
              <w:jc w:val="right"/>
            </w:pPr>
          </w:p>
        </w:tc>
        <w:tc>
          <w:tcPr>
            <w:tcW w:w="1490" w:type="dxa"/>
            <w:shd w:val="clear" w:color="auto" w:fill="auto"/>
          </w:tcPr>
          <w:p w14:paraId="38842BFA" w14:textId="77777777" w:rsidR="00E01737" w:rsidRPr="00D0012F" w:rsidRDefault="00E01737" w:rsidP="00603607">
            <w:pPr>
              <w:pStyle w:val="Default"/>
              <w:jc w:val="right"/>
            </w:pPr>
          </w:p>
        </w:tc>
      </w:tr>
      <w:tr w:rsidR="00E01737" w:rsidRPr="00D0012F" w14:paraId="256097CC" w14:textId="77777777" w:rsidTr="001A0059">
        <w:tc>
          <w:tcPr>
            <w:tcW w:w="3458" w:type="dxa"/>
            <w:shd w:val="clear" w:color="auto" w:fill="auto"/>
          </w:tcPr>
          <w:p w14:paraId="79EF394D" w14:textId="48D4FD5A" w:rsidR="00E01737" w:rsidRDefault="00E01737" w:rsidP="001A0059">
            <w:pPr>
              <w:pStyle w:val="Default"/>
              <w:ind w:right="386"/>
              <w:jc w:val="both"/>
            </w:pPr>
            <w:r>
              <w:t>Loans to Housing Company</w:t>
            </w:r>
            <w:r w:rsidR="009E1C3C">
              <w:t xml:space="preserve"> (6)</w:t>
            </w:r>
          </w:p>
        </w:tc>
        <w:tc>
          <w:tcPr>
            <w:tcW w:w="1470" w:type="dxa"/>
            <w:shd w:val="clear" w:color="auto" w:fill="auto"/>
          </w:tcPr>
          <w:p w14:paraId="69762FAA" w14:textId="77777777" w:rsidR="00E01737" w:rsidRDefault="00FE3714" w:rsidP="00FE3714">
            <w:pPr>
              <w:pStyle w:val="Default"/>
              <w:ind w:right="34"/>
              <w:jc w:val="right"/>
            </w:pPr>
            <w:r>
              <w:t>3,000</w:t>
            </w:r>
          </w:p>
        </w:tc>
        <w:tc>
          <w:tcPr>
            <w:tcW w:w="1507" w:type="dxa"/>
            <w:shd w:val="clear" w:color="auto" w:fill="auto"/>
          </w:tcPr>
          <w:p w14:paraId="760F6DC9" w14:textId="77777777" w:rsidR="00E01737" w:rsidRDefault="00FE3714" w:rsidP="00603607">
            <w:pPr>
              <w:pStyle w:val="Default"/>
              <w:jc w:val="right"/>
            </w:pPr>
            <w:r>
              <w:t>30,000</w:t>
            </w:r>
          </w:p>
        </w:tc>
        <w:tc>
          <w:tcPr>
            <w:tcW w:w="1470" w:type="dxa"/>
            <w:shd w:val="clear" w:color="auto" w:fill="auto"/>
          </w:tcPr>
          <w:p w14:paraId="48F3C0D7" w14:textId="77777777" w:rsidR="00E01737" w:rsidRPr="00D0012F" w:rsidRDefault="00FE3714" w:rsidP="00603607">
            <w:pPr>
              <w:pStyle w:val="Default"/>
              <w:ind w:right="34"/>
              <w:jc w:val="right"/>
            </w:pPr>
            <w:r>
              <w:t>16,000</w:t>
            </w:r>
          </w:p>
        </w:tc>
        <w:tc>
          <w:tcPr>
            <w:tcW w:w="1490" w:type="dxa"/>
            <w:shd w:val="clear" w:color="auto" w:fill="auto"/>
          </w:tcPr>
          <w:p w14:paraId="4A39C5A8" w14:textId="77777777" w:rsidR="00E01737" w:rsidRPr="00D0012F" w:rsidRDefault="00FE3714" w:rsidP="00603607">
            <w:pPr>
              <w:pStyle w:val="Default"/>
              <w:jc w:val="right"/>
            </w:pPr>
            <w:r>
              <w:t>11,000</w:t>
            </w:r>
          </w:p>
        </w:tc>
      </w:tr>
      <w:tr w:rsidR="00E01737" w:rsidRPr="00D0012F" w14:paraId="6D6D4CDE" w14:textId="77777777" w:rsidTr="001A0059">
        <w:tc>
          <w:tcPr>
            <w:tcW w:w="3458" w:type="dxa"/>
            <w:shd w:val="clear" w:color="auto" w:fill="auto"/>
          </w:tcPr>
          <w:p w14:paraId="05AC37D1" w14:textId="77777777" w:rsidR="00E01737" w:rsidRDefault="00E01737" w:rsidP="001A0059">
            <w:pPr>
              <w:pStyle w:val="Default"/>
              <w:ind w:right="386"/>
              <w:jc w:val="both"/>
            </w:pPr>
          </w:p>
        </w:tc>
        <w:tc>
          <w:tcPr>
            <w:tcW w:w="1470" w:type="dxa"/>
            <w:shd w:val="clear" w:color="auto" w:fill="auto"/>
          </w:tcPr>
          <w:p w14:paraId="3AE60413" w14:textId="77777777" w:rsidR="00E01737" w:rsidRDefault="00E01737" w:rsidP="00603607">
            <w:pPr>
              <w:pStyle w:val="Default"/>
              <w:ind w:right="34"/>
              <w:jc w:val="right"/>
            </w:pPr>
          </w:p>
        </w:tc>
        <w:tc>
          <w:tcPr>
            <w:tcW w:w="1507" w:type="dxa"/>
            <w:shd w:val="clear" w:color="auto" w:fill="auto"/>
          </w:tcPr>
          <w:p w14:paraId="25371AC1" w14:textId="77777777" w:rsidR="00E01737" w:rsidRDefault="00E01737" w:rsidP="00603607">
            <w:pPr>
              <w:pStyle w:val="Default"/>
              <w:jc w:val="right"/>
            </w:pPr>
          </w:p>
        </w:tc>
        <w:tc>
          <w:tcPr>
            <w:tcW w:w="1470" w:type="dxa"/>
            <w:shd w:val="clear" w:color="auto" w:fill="auto"/>
          </w:tcPr>
          <w:p w14:paraId="4E0A2D63" w14:textId="77777777" w:rsidR="00E01737" w:rsidRPr="00D0012F" w:rsidRDefault="00E01737" w:rsidP="00603607">
            <w:pPr>
              <w:pStyle w:val="Default"/>
              <w:ind w:right="34"/>
              <w:jc w:val="right"/>
            </w:pPr>
          </w:p>
        </w:tc>
        <w:tc>
          <w:tcPr>
            <w:tcW w:w="1490" w:type="dxa"/>
            <w:shd w:val="clear" w:color="auto" w:fill="auto"/>
          </w:tcPr>
          <w:p w14:paraId="777C0F8B" w14:textId="77777777" w:rsidR="00E01737" w:rsidRPr="00D0012F" w:rsidRDefault="00E01737" w:rsidP="00603607">
            <w:pPr>
              <w:pStyle w:val="Default"/>
              <w:jc w:val="right"/>
            </w:pPr>
          </w:p>
        </w:tc>
      </w:tr>
      <w:tr w:rsidR="00E01737" w:rsidRPr="00D0012F" w14:paraId="3CF81AC1" w14:textId="77777777" w:rsidTr="001A0059">
        <w:tc>
          <w:tcPr>
            <w:tcW w:w="3458" w:type="dxa"/>
            <w:shd w:val="clear" w:color="auto" w:fill="auto"/>
          </w:tcPr>
          <w:p w14:paraId="152AC6C7" w14:textId="77777777" w:rsidR="00E01737" w:rsidRPr="001A0059" w:rsidRDefault="00E01737" w:rsidP="001A0059">
            <w:pPr>
              <w:pStyle w:val="Default"/>
              <w:ind w:right="386"/>
              <w:jc w:val="both"/>
              <w:rPr>
                <w:b/>
              </w:rPr>
            </w:pPr>
            <w:r w:rsidRPr="001A0059">
              <w:rPr>
                <w:b/>
              </w:rPr>
              <w:t>Total new bids</w:t>
            </w:r>
          </w:p>
        </w:tc>
        <w:tc>
          <w:tcPr>
            <w:tcW w:w="1470" w:type="dxa"/>
            <w:shd w:val="clear" w:color="auto" w:fill="auto"/>
          </w:tcPr>
          <w:p w14:paraId="251889F3" w14:textId="77777777" w:rsidR="00E01737" w:rsidRPr="001A0059" w:rsidRDefault="00FE3714" w:rsidP="00603607">
            <w:pPr>
              <w:pStyle w:val="Default"/>
              <w:ind w:right="34"/>
              <w:jc w:val="right"/>
              <w:rPr>
                <w:b/>
              </w:rPr>
            </w:pPr>
            <w:r>
              <w:rPr>
                <w:b/>
              </w:rPr>
              <w:t>18,538</w:t>
            </w:r>
          </w:p>
        </w:tc>
        <w:tc>
          <w:tcPr>
            <w:tcW w:w="1507" w:type="dxa"/>
            <w:shd w:val="clear" w:color="auto" w:fill="auto"/>
          </w:tcPr>
          <w:p w14:paraId="3970F7F5" w14:textId="77777777" w:rsidR="00E01737" w:rsidRPr="001A0059" w:rsidRDefault="00FE3714" w:rsidP="00603607">
            <w:pPr>
              <w:pStyle w:val="Default"/>
              <w:jc w:val="right"/>
              <w:rPr>
                <w:b/>
              </w:rPr>
            </w:pPr>
            <w:r>
              <w:rPr>
                <w:b/>
              </w:rPr>
              <w:t>30,50</w:t>
            </w:r>
            <w:r w:rsidR="00E01737" w:rsidRPr="001A0059">
              <w:rPr>
                <w:b/>
              </w:rPr>
              <w:t>5</w:t>
            </w:r>
          </w:p>
        </w:tc>
        <w:tc>
          <w:tcPr>
            <w:tcW w:w="1470" w:type="dxa"/>
            <w:shd w:val="clear" w:color="auto" w:fill="auto"/>
          </w:tcPr>
          <w:p w14:paraId="3DE55330" w14:textId="77777777" w:rsidR="00E01737" w:rsidRPr="001A0059" w:rsidRDefault="00FE3714" w:rsidP="00603607">
            <w:pPr>
              <w:pStyle w:val="Default"/>
              <w:ind w:right="34"/>
              <w:jc w:val="right"/>
              <w:rPr>
                <w:b/>
              </w:rPr>
            </w:pPr>
            <w:r>
              <w:rPr>
                <w:b/>
              </w:rPr>
              <w:t>16,005</w:t>
            </w:r>
          </w:p>
        </w:tc>
        <w:tc>
          <w:tcPr>
            <w:tcW w:w="1490" w:type="dxa"/>
            <w:shd w:val="clear" w:color="auto" w:fill="auto"/>
          </w:tcPr>
          <w:p w14:paraId="21B52278" w14:textId="77777777" w:rsidR="00E01737" w:rsidRPr="001A0059" w:rsidRDefault="00FE3714" w:rsidP="00603607">
            <w:pPr>
              <w:pStyle w:val="Default"/>
              <w:jc w:val="right"/>
              <w:rPr>
                <w:b/>
              </w:rPr>
            </w:pPr>
            <w:r>
              <w:rPr>
                <w:b/>
              </w:rPr>
              <w:t>11,005</w:t>
            </w:r>
          </w:p>
        </w:tc>
      </w:tr>
      <w:tr w:rsidR="00603607" w:rsidRPr="00D0012F" w14:paraId="2CE5AF75" w14:textId="77777777" w:rsidTr="001A0059">
        <w:tc>
          <w:tcPr>
            <w:tcW w:w="3458" w:type="dxa"/>
            <w:shd w:val="clear" w:color="auto" w:fill="auto"/>
          </w:tcPr>
          <w:p w14:paraId="15272AB1" w14:textId="77777777" w:rsidR="00603607" w:rsidRPr="001A0059" w:rsidRDefault="00603607" w:rsidP="001A0059">
            <w:pPr>
              <w:pStyle w:val="Default"/>
              <w:ind w:right="386"/>
              <w:jc w:val="both"/>
              <w:rPr>
                <w:b/>
              </w:rPr>
            </w:pPr>
          </w:p>
        </w:tc>
        <w:tc>
          <w:tcPr>
            <w:tcW w:w="1470" w:type="dxa"/>
            <w:shd w:val="clear" w:color="auto" w:fill="auto"/>
          </w:tcPr>
          <w:p w14:paraId="1A9D9435" w14:textId="77777777" w:rsidR="00603607" w:rsidRDefault="00603607" w:rsidP="00603607">
            <w:pPr>
              <w:pStyle w:val="Default"/>
              <w:ind w:right="34"/>
              <w:jc w:val="right"/>
              <w:rPr>
                <w:b/>
              </w:rPr>
            </w:pPr>
          </w:p>
        </w:tc>
        <w:tc>
          <w:tcPr>
            <w:tcW w:w="1507" w:type="dxa"/>
            <w:shd w:val="clear" w:color="auto" w:fill="auto"/>
          </w:tcPr>
          <w:p w14:paraId="2A4B68CE" w14:textId="77777777" w:rsidR="00603607" w:rsidRPr="001A0059" w:rsidRDefault="00603607" w:rsidP="00603607">
            <w:pPr>
              <w:pStyle w:val="Default"/>
              <w:jc w:val="right"/>
              <w:rPr>
                <w:b/>
              </w:rPr>
            </w:pPr>
          </w:p>
        </w:tc>
        <w:tc>
          <w:tcPr>
            <w:tcW w:w="1470" w:type="dxa"/>
            <w:shd w:val="clear" w:color="auto" w:fill="auto"/>
          </w:tcPr>
          <w:p w14:paraId="2A007F7A" w14:textId="77777777" w:rsidR="00603607" w:rsidRPr="001A0059" w:rsidRDefault="00603607" w:rsidP="00603607">
            <w:pPr>
              <w:pStyle w:val="Default"/>
              <w:ind w:right="34"/>
              <w:jc w:val="right"/>
              <w:rPr>
                <w:b/>
              </w:rPr>
            </w:pPr>
          </w:p>
        </w:tc>
        <w:tc>
          <w:tcPr>
            <w:tcW w:w="1490" w:type="dxa"/>
            <w:shd w:val="clear" w:color="auto" w:fill="auto"/>
          </w:tcPr>
          <w:p w14:paraId="70274096" w14:textId="77777777" w:rsidR="00603607" w:rsidRPr="001A0059" w:rsidRDefault="00603607" w:rsidP="00603607">
            <w:pPr>
              <w:pStyle w:val="Default"/>
              <w:jc w:val="right"/>
              <w:rPr>
                <w:b/>
              </w:rPr>
            </w:pPr>
          </w:p>
        </w:tc>
      </w:tr>
      <w:tr w:rsidR="00E01737" w:rsidRPr="00D0012F" w14:paraId="751B8BCC" w14:textId="77777777" w:rsidTr="001A0059">
        <w:tc>
          <w:tcPr>
            <w:tcW w:w="3458" w:type="dxa"/>
            <w:shd w:val="clear" w:color="auto" w:fill="auto"/>
          </w:tcPr>
          <w:p w14:paraId="0288E3D0" w14:textId="77777777" w:rsidR="00E01737" w:rsidRPr="001A0059" w:rsidRDefault="00E01737" w:rsidP="001A0059">
            <w:pPr>
              <w:pStyle w:val="Default"/>
              <w:ind w:right="386"/>
              <w:jc w:val="both"/>
              <w:rPr>
                <w:b/>
              </w:rPr>
            </w:pPr>
            <w:r w:rsidRPr="001A0059">
              <w:rPr>
                <w:b/>
              </w:rPr>
              <w:t>Total</w:t>
            </w:r>
          </w:p>
        </w:tc>
        <w:tc>
          <w:tcPr>
            <w:tcW w:w="1470" w:type="dxa"/>
            <w:shd w:val="clear" w:color="auto" w:fill="auto"/>
          </w:tcPr>
          <w:p w14:paraId="589860E7" w14:textId="77777777" w:rsidR="00E01737" w:rsidRPr="001A0059" w:rsidRDefault="00FE3714" w:rsidP="00603607">
            <w:pPr>
              <w:pStyle w:val="Default"/>
              <w:ind w:right="34"/>
              <w:jc w:val="right"/>
              <w:rPr>
                <w:b/>
              </w:rPr>
            </w:pPr>
            <w:r>
              <w:rPr>
                <w:b/>
              </w:rPr>
              <w:t>18,538</w:t>
            </w:r>
          </w:p>
        </w:tc>
        <w:tc>
          <w:tcPr>
            <w:tcW w:w="1507" w:type="dxa"/>
            <w:shd w:val="clear" w:color="auto" w:fill="auto"/>
          </w:tcPr>
          <w:p w14:paraId="68CA5C8D" w14:textId="77777777" w:rsidR="00E01737" w:rsidRPr="001A0059" w:rsidRDefault="00FE3714" w:rsidP="00603607">
            <w:pPr>
              <w:pStyle w:val="Default"/>
              <w:jc w:val="right"/>
              <w:rPr>
                <w:b/>
              </w:rPr>
            </w:pPr>
            <w:r>
              <w:rPr>
                <w:b/>
              </w:rPr>
              <w:t>30,302</w:t>
            </w:r>
          </w:p>
        </w:tc>
        <w:tc>
          <w:tcPr>
            <w:tcW w:w="1470" w:type="dxa"/>
            <w:shd w:val="clear" w:color="auto" w:fill="auto"/>
          </w:tcPr>
          <w:p w14:paraId="364D8DE0" w14:textId="77777777" w:rsidR="00E01737" w:rsidRPr="001A0059" w:rsidRDefault="00FE3714" w:rsidP="00603607">
            <w:pPr>
              <w:pStyle w:val="Default"/>
              <w:ind w:right="34"/>
              <w:jc w:val="right"/>
              <w:rPr>
                <w:b/>
              </w:rPr>
            </w:pPr>
            <w:r>
              <w:rPr>
                <w:b/>
              </w:rPr>
              <w:t>15,160</w:t>
            </w:r>
          </w:p>
        </w:tc>
        <w:tc>
          <w:tcPr>
            <w:tcW w:w="1490" w:type="dxa"/>
            <w:shd w:val="clear" w:color="auto" w:fill="auto"/>
          </w:tcPr>
          <w:p w14:paraId="58489F7E" w14:textId="77777777" w:rsidR="00E01737" w:rsidRPr="001A0059" w:rsidRDefault="00FE3714" w:rsidP="00603607">
            <w:pPr>
              <w:pStyle w:val="Default"/>
              <w:jc w:val="right"/>
              <w:rPr>
                <w:b/>
              </w:rPr>
            </w:pPr>
            <w:r>
              <w:rPr>
                <w:b/>
              </w:rPr>
              <w:t>10,805</w:t>
            </w:r>
          </w:p>
        </w:tc>
      </w:tr>
    </w:tbl>
    <w:p w14:paraId="3CCF07F2" w14:textId="77777777" w:rsidR="00D0012F" w:rsidRPr="00D0012F" w:rsidRDefault="00D0012F" w:rsidP="0080626D">
      <w:pPr>
        <w:pStyle w:val="Default"/>
        <w:ind w:left="567" w:right="386" w:hanging="567"/>
        <w:jc w:val="both"/>
      </w:pPr>
    </w:p>
    <w:p w14:paraId="6D70AC0C" w14:textId="2AA6D5F7" w:rsidR="00D0012F" w:rsidRPr="00CE3A3C" w:rsidRDefault="00E01737" w:rsidP="0080626D">
      <w:pPr>
        <w:pStyle w:val="Default"/>
        <w:ind w:left="567" w:right="386" w:hanging="567"/>
        <w:jc w:val="both"/>
        <w:rPr>
          <w:b/>
          <w:lang w:val="en-GB"/>
        </w:rPr>
      </w:pPr>
      <w:r>
        <w:tab/>
      </w:r>
      <w:r w:rsidRPr="00B835F6">
        <w:rPr>
          <w:b/>
        </w:rPr>
        <w:t>Notes</w:t>
      </w:r>
      <w:r w:rsidR="003723F8">
        <w:rPr>
          <w:b/>
          <w:lang w:val="en-GB"/>
        </w:rPr>
        <w:t>:</w:t>
      </w:r>
    </w:p>
    <w:p w14:paraId="16854019" w14:textId="2D5EB2E1" w:rsidR="00E01737" w:rsidRDefault="00E01737" w:rsidP="0080626D">
      <w:pPr>
        <w:pStyle w:val="Default"/>
        <w:ind w:left="567" w:right="386" w:hanging="567"/>
        <w:jc w:val="both"/>
      </w:pPr>
      <w:r>
        <w:tab/>
      </w:r>
      <w:r w:rsidR="009E1C3C" w:rsidRPr="009E1C3C">
        <w:rPr>
          <w:b/>
        </w:rPr>
        <w:t>(1)</w:t>
      </w:r>
      <w:proofErr w:type="spellStart"/>
      <w:r w:rsidRPr="00B835F6">
        <w:rPr>
          <w:b/>
        </w:rPr>
        <w:t>Seacourt</w:t>
      </w:r>
      <w:proofErr w:type="spellEnd"/>
      <w:r w:rsidRPr="00B835F6">
        <w:rPr>
          <w:b/>
        </w:rPr>
        <w:t xml:space="preserve"> Park and Ride</w:t>
      </w:r>
      <w:r>
        <w:t xml:space="preserve"> </w:t>
      </w:r>
      <w:r w:rsidR="00152E53">
        <w:t>–</w:t>
      </w:r>
      <w:r w:rsidR="00B835F6">
        <w:t xml:space="preserve"> </w:t>
      </w:r>
      <w:r w:rsidR="00152E53">
        <w:t xml:space="preserve">The increased cost of delivering the additional parking spaces at </w:t>
      </w:r>
      <w:proofErr w:type="spellStart"/>
      <w:r w:rsidR="00152E53">
        <w:t>Seacourt</w:t>
      </w:r>
      <w:proofErr w:type="spellEnd"/>
      <w:r w:rsidR="00152E53">
        <w:t xml:space="preserve"> Park and Ride have arisen from </w:t>
      </w:r>
      <w:r w:rsidR="00152E53" w:rsidRPr="00A53EAA">
        <w:t xml:space="preserve">costs </w:t>
      </w:r>
      <w:r w:rsidR="00EE05D1">
        <w:t xml:space="preserve">required </w:t>
      </w:r>
      <w:r w:rsidR="00152E53" w:rsidRPr="00A53EAA">
        <w:t>to secure planning permission reflecting Green Belt, flood plain</w:t>
      </w:r>
      <w:r w:rsidR="00EE05D1">
        <w:t>,</w:t>
      </w:r>
      <w:r w:rsidR="00152E53" w:rsidRPr="00A53EAA">
        <w:t xml:space="preserve"> highway </w:t>
      </w:r>
      <w:r w:rsidR="00EE05D1">
        <w:t xml:space="preserve">and </w:t>
      </w:r>
      <w:r w:rsidR="00152E53">
        <w:t xml:space="preserve">drainage </w:t>
      </w:r>
      <w:r w:rsidR="00EE05D1">
        <w:t>issues. The scheme cost has now risen to £4.1 million but additional income will provide payback within a reasonable period</w:t>
      </w:r>
      <w:r w:rsidR="00152E53">
        <w:t xml:space="preserve">  </w:t>
      </w:r>
    </w:p>
    <w:p w14:paraId="10F8BCC0" w14:textId="2501349C" w:rsidR="00E01737" w:rsidRDefault="00E01737" w:rsidP="0080626D">
      <w:pPr>
        <w:pStyle w:val="Default"/>
        <w:ind w:left="567" w:right="386" w:hanging="567"/>
        <w:jc w:val="both"/>
      </w:pPr>
      <w:r>
        <w:tab/>
      </w:r>
      <w:r w:rsidR="009E1C3C" w:rsidRPr="009E1C3C">
        <w:rPr>
          <w:b/>
        </w:rPr>
        <w:t>(2)</w:t>
      </w:r>
      <w:r w:rsidRPr="00EE05D1">
        <w:rPr>
          <w:b/>
        </w:rPr>
        <w:t>Purchase of properties</w:t>
      </w:r>
      <w:r>
        <w:t xml:space="preserve"> </w:t>
      </w:r>
      <w:r w:rsidRPr="00EE05D1">
        <w:rPr>
          <w:b/>
        </w:rPr>
        <w:t>for homeless famil</w:t>
      </w:r>
      <w:r w:rsidR="00C73BD1">
        <w:rPr>
          <w:b/>
        </w:rPr>
        <w:t>i</w:t>
      </w:r>
      <w:r w:rsidRPr="00EE05D1">
        <w:rPr>
          <w:b/>
        </w:rPr>
        <w:t>es</w:t>
      </w:r>
      <w:r>
        <w:t xml:space="preserve"> </w:t>
      </w:r>
      <w:r w:rsidR="00EE05D1">
        <w:t xml:space="preserve">– The purchase of approximately </w:t>
      </w:r>
      <w:r w:rsidR="0035721F">
        <w:t xml:space="preserve">39 </w:t>
      </w:r>
      <w:r w:rsidR="00EE05D1">
        <w:t xml:space="preserve">properties </w:t>
      </w:r>
      <w:r w:rsidR="0035721F">
        <w:t xml:space="preserve">financed by prudential borrowing and Retained </w:t>
      </w:r>
      <w:r w:rsidR="003723F8">
        <w:rPr>
          <w:lang w:val="en-GB"/>
        </w:rPr>
        <w:t>Right</w:t>
      </w:r>
      <w:r w:rsidR="0035721F">
        <w:t xml:space="preserve"> </w:t>
      </w:r>
      <w:proofErr w:type="gramStart"/>
      <w:r w:rsidR="0035721F">
        <w:t>To</w:t>
      </w:r>
      <w:proofErr w:type="gramEnd"/>
      <w:r w:rsidR="0035721F">
        <w:t xml:space="preserve"> Buy </w:t>
      </w:r>
      <w:r w:rsidR="00823B6F">
        <w:t>receipts</w:t>
      </w:r>
      <w:r w:rsidR="0035721F">
        <w:t xml:space="preserve"> both </w:t>
      </w:r>
      <w:r w:rsidR="00EE05D1">
        <w:t xml:space="preserve">within </w:t>
      </w:r>
      <w:r w:rsidR="0035721F">
        <w:t xml:space="preserve">and in </w:t>
      </w:r>
      <w:r w:rsidR="00EE05D1">
        <w:t>close proximity to Oxford will house homeless families</w:t>
      </w:r>
      <w:r w:rsidR="0035721F">
        <w:t>, providing additional net income and savings on the temporary accommodation homelessness budget. There is a separate report elsewhere on the agenda</w:t>
      </w:r>
      <w:r w:rsidR="00CF6978">
        <w:rPr>
          <w:lang w:val="en-GB"/>
        </w:rPr>
        <w:t xml:space="preserve"> seeking project approval for this scheme.</w:t>
      </w:r>
      <w:r w:rsidR="0035721F">
        <w:t xml:space="preserve">  </w:t>
      </w:r>
      <w:r w:rsidR="00EE05D1">
        <w:t xml:space="preserve"> </w:t>
      </w:r>
    </w:p>
    <w:p w14:paraId="316DD809" w14:textId="14A02040" w:rsidR="00E01737" w:rsidRDefault="00E01737" w:rsidP="0080626D">
      <w:pPr>
        <w:pStyle w:val="Default"/>
        <w:ind w:left="567" w:right="386" w:hanging="567"/>
        <w:jc w:val="both"/>
      </w:pPr>
      <w:r>
        <w:tab/>
      </w:r>
      <w:r w:rsidR="009E1C3C" w:rsidRPr="009E1C3C">
        <w:rPr>
          <w:b/>
        </w:rPr>
        <w:t>(3)</w:t>
      </w:r>
      <w:r w:rsidRPr="0035721F">
        <w:rPr>
          <w:b/>
        </w:rPr>
        <w:t>Recycling transfer station</w:t>
      </w:r>
      <w:r>
        <w:t xml:space="preserve"> </w:t>
      </w:r>
      <w:r w:rsidR="0035721F">
        <w:t xml:space="preserve">(RTS)– Following a review of all available sites and in a change to original plans the new proposal recommends </w:t>
      </w:r>
      <w:proofErr w:type="spellStart"/>
      <w:r w:rsidR="0035721F">
        <w:t>Redbridge</w:t>
      </w:r>
      <w:proofErr w:type="spellEnd"/>
      <w:r w:rsidR="0035721F">
        <w:t xml:space="preserve"> as the most economically viable option to locate the RTS.</w:t>
      </w:r>
      <w:r w:rsidR="00212B89">
        <w:t xml:space="preserve"> Additional expenditure is required for the construction of an access road, together with drainage, signage, lighting and fencing although a capital receipt may arise from the sale of the previously identified location.  There is a separate report to </w:t>
      </w:r>
      <w:r w:rsidR="009E1C3C">
        <w:t xml:space="preserve">December </w:t>
      </w:r>
      <w:r w:rsidR="00212B89">
        <w:t xml:space="preserve">CEB. </w:t>
      </w:r>
    </w:p>
    <w:p w14:paraId="5E059348" w14:textId="09604137" w:rsidR="00E01737" w:rsidRDefault="00E01737" w:rsidP="0080626D">
      <w:pPr>
        <w:pStyle w:val="Default"/>
        <w:ind w:left="567" w:right="386" w:hanging="567"/>
        <w:jc w:val="both"/>
      </w:pPr>
      <w:r>
        <w:tab/>
      </w:r>
      <w:r w:rsidR="009E1C3C" w:rsidRPr="009E1C3C">
        <w:rPr>
          <w:b/>
        </w:rPr>
        <w:t>(4)</w:t>
      </w:r>
      <w:r w:rsidRPr="00212B89">
        <w:rPr>
          <w:b/>
        </w:rPr>
        <w:t>Purchase of leasehold property</w:t>
      </w:r>
      <w:r>
        <w:t xml:space="preserve"> </w:t>
      </w:r>
      <w:r w:rsidR="00212B89">
        <w:t xml:space="preserve">– The budget provides for the purchase of the leasehold on land currently owned by the Council in order to undertake </w:t>
      </w:r>
      <w:r w:rsidR="00315719">
        <w:t xml:space="preserve">housing </w:t>
      </w:r>
      <w:r w:rsidR="00212B89">
        <w:t xml:space="preserve">development </w:t>
      </w:r>
      <w:r w:rsidR="00315719">
        <w:t>either by the Housing Company or the Council.</w:t>
      </w:r>
    </w:p>
    <w:p w14:paraId="16F00BF9" w14:textId="164A7653" w:rsidR="00E01737" w:rsidRDefault="009E1C3C" w:rsidP="00E01737">
      <w:pPr>
        <w:pStyle w:val="Default"/>
        <w:ind w:left="567" w:right="386"/>
        <w:jc w:val="both"/>
      </w:pPr>
      <w:r>
        <w:rPr>
          <w:b/>
        </w:rPr>
        <w:t>(5)</w:t>
      </w:r>
      <w:r w:rsidR="002977AD">
        <w:rPr>
          <w:b/>
        </w:rPr>
        <w:t>Feasibility study and technical investigations</w:t>
      </w:r>
      <w:r w:rsidR="00E01737">
        <w:t xml:space="preserve"> </w:t>
      </w:r>
      <w:r w:rsidR="00315719">
        <w:t>– The budget allows for the costs of feasibility stud</w:t>
      </w:r>
      <w:r>
        <w:t>ies</w:t>
      </w:r>
      <w:r w:rsidR="00315719">
        <w:t xml:space="preserve"> to be undertaken on the potential for </w:t>
      </w:r>
      <w:r>
        <w:t>further rationalization of Council property</w:t>
      </w:r>
      <w:r w:rsidR="00315719">
        <w:t>.</w:t>
      </w:r>
    </w:p>
    <w:p w14:paraId="120808A1" w14:textId="2F26D61B" w:rsidR="003F790E" w:rsidRDefault="009E1C3C" w:rsidP="00E01737">
      <w:pPr>
        <w:pStyle w:val="Default"/>
        <w:ind w:left="567" w:right="386"/>
        <w:jc w:val="both"/>
      </w:pPr>
      <w:r>
        <w:rPr>
          <w:b/>
        </w:rPr>
        <w:t xml:space="preserve">(6) </w:t>
      </w:r>
      <w:r w:rsidR="003F790E">
        <w:rPr>
          <w:b/>
        </w:rPr>
        <w:t xml:space="preserve">Loans to Housing Company </w:t>
      </w:r>
      <w:r w:rsidR="003F790E">
        <w:t>– see paragraph 4</w:t>
      </w:r>
      <w:r w:rsidR="00496A88">
        <w:t>7</w:t>
      </w:r>
      <w:r w:rsidR="003F790E">
        <w:t xml:space="preserve"> below</w:t>
      </w:r>
    </w:p>
    <w:p w14:paraId="0081BD39" w14:textId="77777777" w:rsidR="003F790E" w:rsidRDefault="003F790E" w:rsidP="0080626D">
      <w:pPr>
        <w:pStyle w:val="Default"/>
        <w:ind w:left="567" w:right="386" w:hanging="567"/>
        <w:jc w:val="both"/>
      </w:pPr>
    </w:p>
    <w:p w14:paraId="0C44D1AF" w14:textId="2DB6427B" w:rsidR="0080626D" w:rsidRPr="002011A1" w:rsidRDefault="00496A88" w:rsidP="0010427B">
      <w:pPr>
        <w:pStyle w:val="Default"/>
        <w:ind w:left="567" w:right="386" w:hanging="567"/>
        <w:jc w:val="both"/>
      </w:pPr>
      <w:r>
        <w:t>4</w:t>
      </w:r>
      <w:r w:rsidR="00BD0932">
        <w:t>5</w:t>
      </w:r>
      <w:r w:rsidR="0010427B">
        <w:tab/>
      </w:r>
      <w:r w:rsidR="002C5B7B" w:rsidRPr="002011A1">
        <w:t>In</w:t>
      </w:r>
      <w:r w:rsidR="0001206E">
        <w:t xml:space="preserve">corporating </w:t>
      </w:r>
      <w:r w:rsidR="002C5B7B" w:rsidRPr="002011A1">
        <w:t xml:space="preserve">the items shown in </w:t>
      </w:r>
      <w:r w:rsidR="00EB3BF9">
        <w:rPr>
          <w:lang w:val="en-GB"/>
        </w:rPr>
        <w:t>Table</w:t>
      </w:r>
      <w:r w:rsidR="00BE17A0">
        <w:rPr>
          <w:lang w:val="en-GB"/>
        </w:rPr>
        <w:t xml:space="preserve"> </w:t>
      </w:r>
      <w:r w:rsidR="003F790E">
        <w:t>11</w:t>
      </w:r>
      <w:r w:rsidR="002C5B7B" w:rsidRPr="002011A1">
        <w:t xml:space="preserve"> above the </w:t>
      </w:r>
      <w:r w:rsidR="003F790E">
        <w:t xml:space="preserve">full </w:t>
      </w:r>
      <w:proofErr w:type="spellStart"/>
      <w:r w:rsidR="0001206E">
        <w:t>P</w:t>
      </w:r>
      <w:r w:rsidR="0079241C" w:rsidRPr="002011A1">
        <w:t>rogramme</w:t>
      </w:r>
      <w:proofErr w:type="spellEnd"/>
      <w:r w:rsidR="0079241C" w:rsidRPr="002011A1">
        <w:t xml:space="preserve"> of investment </w:t>
      </w:r>
      <w:r w:rsidR="00CF1516">
        <w:rPr>
          <w:lang w:val="en-GB"/>
        </w:rPr>
        <w:t xml:space="preserve">is </w:t>
      </w:r>
      <w:r w:rsidR="0001206E">
        <w:t xml:space="preserve">shown in Appendix 6 </w:t>
      </w:r>
      <w:r w:rsidR="00CF1516">
        <w:rPr>
          <w:lang w:val="en-GB"/>
        </w:rPr>
        <w:t xml:space="preserve">and </w:t>
      </w:r>
      <w:r w:rsidR="0001206E">
        <w:t xml:space="preserve">includes other significant items such as </w:t>
      </w:r>
      <w:r w:rsidR="0079241C" w:rsidRPr="002011A1">
        <w:t xml:space="preserve"> £</w:t>
      </w:r>
      <w:r w:rsidR="002C5B7B" w:rsidRPr="002011A1">
        <w:t>2.4</w:t>
      </w:r>
      <w:r w:rsidR="0079241C" w:rsidRPr="002011A1">
        <w:t xml:space="preserve"> million on flood relief </w:t>
      </w:r>
      <w:r w:rsidR="00641EDB" w:rsidRPr="002011A1">
        <w:t xml:space="preserve">schemes, community </w:t>
      </w:r>
      <w:proofErr w:type="spellStart"/>
      <w:r w:rsidR="00641EDB" w:rsidRPr="002011A1">
        <w:t>centre</w:t>
      </w:r>
      <w:proofErr w:type="spellEnd"/>
      <w:r w:rsidR="00641EDB" w:rsidRPr="002011A1">
        <w:t xml:space="preserve"> improvements £</w:t>
      </w:r>
      <w:r w:rsidR="002C5B7B" w:rsidRPr="002011A1">
        <w:t>3.6</w:t>
      </w:r>
      <w:r w:rsidR="00641EDB" w:rsidRPr="002011A1">
        <w:t xml:space="preserve"> million,</w:t>
      </w:r>
      <w:r w:rsidR="00210E59" w:rsidRPr="002011A1">
        <w:t xml:space="preserve"> </w:t>
      </w:r>
      <w:r w:rsidR="00614D4F" w:rsidRPr="002011A1">
        <w:t>D</w:t>
      </w:r>
      <w:r w:rsidR="002719F1" w:rsidRPr="002011A1">
        <w:t xml:space="preserve">isabled </w:t>
      </w:r>
      <w:r w:rsidR="00614D4F" w:rsidRPr="002011A1">
        <w:t>F</w:t>
      </w:r>
      <w:r w:rsidR="002719F1" w:rsidRPr="002011A1">
        <w:t xml:space="preserve">acility </w:t>
      </w:r>
      <w:r w:rsidR="00614D4F" w:rsidRPr="002011A1">
        <w:t>G</w:t>
      </w:r>
      <w:r w:rsidR="002719F1" w:rsidRPr="002011A1">
        <w:t>rants £</w:t>
      </w:r>
      <w:r w:rsidR="002C5B7B" w:rsidRPr="002011A1">
        <w:t>4</w:t>
      </w:r>
      <w:r w:rsidR="002719F1" w:rsidRPr="002011A1">
        <w:t>.</w:t>
      </w:r>
      <w:r w:rsidR="00641EDB" w:rsidRPr="002011A1">
        <w:t>0</w:t>
      </w:r>
      <w:r w:rsidR="00153780" w:rsidRPr="002011A1">
        <w:t xml:space="preserve"> </w:t>
      </w:r>
      <w:r w:rsidR="002719F1" w:rsidRPr="002011A1">
        <w:t xml:space="preserve">million, </w:t>
      </w:r>
      <w:r w:rsidR="00641EDB" w:rsidRPr="002011A1">
        <w:t xml:space="preserve">parks, open spaces and athletics </w:t>
      </w:r>
      <w:r w:rsidR="001606EC" w:rsidRPr="002011A1">
        <w:t>facilities</w:t>
      </w:r>
      <w:r w:rsidR="00641EDB" w:rsidRPr="002011A1">
        <w:t xml:space="preserve"> £5 million, </w:t>
      </w:r>
      <w:r w:rsidR="001606EC" w:rsidRPr="002011A1">
        <w:t>car parks</w:t>
      </w:r>
      <w:r w:rsidR="00210E59" w:rsidRPr="002011A1">
        <w:t xml:space="preserve"> resurfacing and improvements £</w:t>
      </w:r>
      <w:r w:rsidR="002C5B7B" w:rsidRPr="002011A1">
        <w:t>1.2</w:t>
      </w:r>
      <w:r w:rsidR="00210E59" w:rsidRPr="002011A1">
        <w:t xml:space="preserve"> million, </w:t>
      </w:r>
      <w:r w:rsidR="007B0493" w:rsidRPr="002011A1">
        <w:t xml:space="preserve">ongoing renewal of council </w:t>
      </w:r>
      <w:r w:rsidR="002719F1" w:rsidRPr="002011A1">
        <w:t>vehicles £</w:t>
      </w:r>
      <w:r w:rsidR="002C5B7B" w:rsidRPr="002011A1">
        <w:t>8</w:t>
      </w:r>
      <w:r w:rsidR="00641EDB" w:rsidRPr="002011A1">
        <w:t>.</w:t>
      </w:r>
      <w:r w:rsidR="002C5B7B" w:rsidRPr="002011A1">
        <w:t>9</w:t>
      </w:r>
      <w:r w:rsidR="002719F1" w:rsidRPr="002011A1">
        <w:t xml:space="preserve"> million</w:t>
      </w:r>
      <w:r w:rsidR="002F4354" w:rsidRPr="002011A1">
        <w:t xml:space="preserve">, </w:t>
      </w:r>
      <w:r w:rsidR="002C5B7B" w:rsidRPr="002011A1">
        <w:t>£2.2 million museum improvements, £4 million loans to companies</w:t>
      </w:r>
      <w:r w:rsidR="002011A1">
        <w:t>,</w:t>
      </w:r>
      <w:r w:rsidR="007B0493" w:rsidRPr="002011A1">
        <w:t xml:space="preserve"> investment in </w:t>
      </w:r>
      <w:r w:rsidR="002F4354" w:rsidRPr="002011A1">
        <w:t>ICT £</w:t>
      </w:r>
      <w:r w:rsidR="00641EDB" w:rsidRPr="002011A1">
        <w:t>2.</w:t>
      </w:r>
      <w:r w:rsidR="002C5B7B" w:rsidRPr="002011A1">
        <w:t>4</w:t>
      </w:r>
      <w:r w:rsidR="00641EDB" w:rsidRPr="002011A1">
        <w:t xml:space="preserve"> </w:t>
      </w:r>
      <w:r w:rsidR="002F4354" w:rsidRPr="002011A1">
        <w:t>million</w:t>
      </w:r>
      <w:r w:rsidR="002011A1">
        <w:t xml:space="preserve"> and improvements to investment properties £10million.</w:t>
      </w:r>
    </w:p>
    <w:p w14:paraId="472CCCDD" w14:textId="77777777" w:rsidR="0080626D" w:rsidRPr="002011A1" w:rsidRDefault="0080626D" w:rsidP="0080626D">
      <w:pPr>
        <w:pStyle w:val="Default"/>
        <w:ind w:left="567" w:right="386" w:hanging="567"/>
        <w:jc w:val="both"/>
      </w:pPr>
    </w:p>
    <w:p w14:paraId="1CBC18A9" w14:textId="27E88893" w:rsidR="002719F1" w:rsidRPr="008A33CB" w:rsidRDefault="00496A88" w:rsidP="0001206E">
      <w:pPr>
        <w:pStyle w:val="Default"/>
        <w:tabs>
          <w:tab w:val="left" w:pos="709"/>
        </w:tabs>
        <w:ind w:left="567" w:right="386" w:hanging="567"/>
        <w:jc w:val="both"/>
      </w:pPr>
      <w:r>
        <w:t>4</w:t>
      </w:r>
      <w:r w:rsidR="00BD0932">
        <w:t>6</w:t>
      </w:r>
      <w:r w:rsidR="002719F1" w:rsidRPr="008A33CB">
        <w:tab/>
      </w:r>
      <w:r w:rsidR="0001206E">
        <w:t>F</w:t>
      </w:r>
      <w:r w:rsidR="002719F1" w:rsidRPr="008A33CB">
        <w:t>und</w:t>
      </w:r>
      <w:r w:rsidR="0001206E">
        <w:t xml:space="preserve">ing of the </w:t>
      </w:r>
      <w:proofErr w:type="spellStart"/>
      <w:r w:rsidR="0001206E">
        <w:t>Programme</w:t>
      </w:r>
      <w:proofErr w:type="spellEnd"/>
      <w:r w:rsidR="0001206E">
        <w:t xml:space="preserve"> is </w:t>
      </w:r>
      <w:r w:rsidR="002719F1" w:rsidRPr="008A33CB">
        <w:t>by revenue (</w:t>
      </w:r>
      <w:r w:rsidR="008A33CB" w:rsidRPr="008A33CB">
        <w:t>16</w:t>
      </w:r>
      <w:r w:rsidR="002719F1" w:rsidRPr="008A33CB">
        <w:t>%)</w:t>
      </w:r>
      <w:r w:rsidR="00ED7592" w:rsidRPr="008A33CB">
        <w:t xml:space="preserve">, </w:t>
      </w:r>
      <w:r w:rsidR="00504A19" w:rsidRPr="008A33CB">
        <w:t xml:space="preserve">Capital </w:t>
      </w:r>
      <w:r w:rsidR="00C32D43">
        <w:rPr>
          <w:lang w:val="en-GB"/>
        </w:rPr>
        <w:t>Receipts</w:t>
      </w:r>
      <w:r w:rsidR="00504A19" w:rsidRPr="008A33CB">
        <w:t xml:space="preserve"> (</w:t>
      </w:r>
      <w:r w:rsidR="008A33CB" w:rsidRPr="008A33CB">
        <w:t>9</w:t>
      </w:r>
      <w:r w:rsidR="00E64CC6" w:rsidRPr="008A33CB">
        <w:t>%</w:t>
      </w:r>
      <w:r w:rsidR="00504A19" w:rsidRPr="008A33CB">
        <w:t xml:space="preserve">) </w:t>
      </w:r>
      <w:r w:rsidR="00ED7592" w:rsidRPr="008A33CB">
        <w:t>Community Infrastructure Levy (</w:t>
      </w:r>
      <w:r w:rsidR="008A33CB" w:rsidRPr="008A33CB">
        <w:t>4</w:t>
      </w:r>
      <w:r w:rsidR="00ED7592" w:rsidRPr="008A33CB">
        <w:t>%)</w:t>
      </w:r>
      <w:r w:rsidR="00411035" w:rsidRPr="008A33CB">
        <w:t>, borrowing (</w:t>
      </w:r>
      <w:r w:rsidR="008A33CB" w:rsidRPr="008A33CB">
        <w:t>65</w:t>
      </w:r>
      <w:r w:rsidR="00411035" w:rsidRPr="008A33CB">
        <w:t>%)</w:t>
      </w:r>
      <w:r w:rsidR="002719F1" w:rsidRPr="008A33CB">
        <w:t xml:space="preserve"> and Government Grants and third party contributions (</w:t>
      </w:r>
      <w:r w:rsidR="008A33CB" w:rsidRPr="008A33CB">
        <w:t>6</w:t>
      </w:r>
      <w:r w:rsidR="002719F1" w:rsidRPr="008A33CB">
        <w:t xml:space="preserve">%). </w:t>
      </w:r>
      <w:r w:rsidR="00A9088A">
        <w:t>General Fund b</w:t>
      </w:r>
      <w:r w:rsidR="003A1D08">
        <w:t xml:space="preserve">orrowing </w:t>
      </w:r>
      <w:r w:rsidR="00A9088A">
        <w:t>at the end of the four year period will be around £80 million.</w:t>
      </w:r>
      <w:r w:rsidR="003A1D08">
        <w:t xml:space="preserve"> </w:t>
      </w:r>
      <w:r w:rsidR="002719F1" w:rsidRPr="008A33CB">
        <w:t xml:space="preserve">All revenue costs have been included in the General Fund revenue budget. </w:t>
      </w:r>
    </w:p>
    <w:p w14:paraId="770AC96F" w14:textId="77777777" w:rsidR="00F34E29" w:rsidRDefault="00F34E29" w:rsidP="002B7914">
      <w:pPr>
        <w:pStyle w:val="Default"/>
        <w:ind w:left="567" w:right="386" w:hanging="567"/>
        <w:jc w:val="both"/>
      </w:pPr>
    </w:p>
    <w:p w14:paraId="73DE9072" w14:textId="77777777" w:rsidR="003F790E" w:rsidRPr="00603607" w:rsidRDefault="003F790E" w:rsidP="003F790E">
      <w:pPr>
        <w:pStyle w:val="Default"/>
        <w:ind w:right="386"/>
        <w:jc w:val="both"/>
        <w:rPr>
          <w:b/>
        </w:rPr>
      </w:pPr>
      <w:r w:rsidRPr="00603607">
        <w:rPr>
          <w:b/>
        </w:rPr>
        <w:t>Housing Company</w:t>
      </w:r>
    </w:p>
    <w:p w14:paraId="3C585F9F" w14:textId="77777777" w:rsidR="003F790E" w:rsidRDefault="003F790E" w:rsidP="003F790E">
      <w:pPr>
        <w:pStyle w:val="Default"/>
        <w:ind w:right="386"/>
        <w:jc w:val="both"/>
      </w:pPr>
    </w:p>
    <w:p w14:paraId="25593A7E" w14:textId="7F3ABF7E" w:rsidR="003F790E" w:rsidRDefault="00496A88" w:rsidP="003F790E">
      <w:pPr>
        <w:pStyle w:val="Default"/>
        <w:ind w:left="567" w:right="386" w:hanging="567"/>
        <w:jc w:val="both"/>
      </w:pPr>
      <w:r>
        <w:t>4</w:t>
      </w:r>
      <w:r w:rsidR="00BD0932">
        <w:t>7</w:t>
      </w:r>
      <w:r w:rsidR="003F790E">
        <w:tab/>
      </w:r>
      <w:r w:rsidR="003F790E" w:rsidRPr="00315719">
        <w:t xml:space="preserve">In March 2016 the Council approved the establishment of a Local Authority housing company and the company was incorporated in June 2016. The </w:t>
      </w:r>
      <w:r w:rsidR="003F790E">
        <w:t xml:space="preserve">Company Business Plan approved at a Board meeting </w:t>
      </w:r>
      <w:r w:rsidR="008B23A8">
        <w:t xml:space="preserve">in </w:t>
      </w:r>
      <w:r w:rsidR="008B23A8" w:rsidRPr="008B23A8">
        <w:t xml:space="preserve">December </w:t>
      </w:r>
      <w:r w:rsidR="0001206E">
        <w:t xml:space="preserve">2016 </w:t>
      </w:r>
      <w:r w:rsidR="003F790E" w:rsidRPr="008B23A8">
        <w:t>set</w:t>
      </w:r>
      <w:r w:rsidR="003F790E">
        <w:t xml:space="preserve"> out plans to undertake, the purchase and management of affordable rented homes at Barton, the develop</w:t>
      </w:r>
      <w:r w:rsidR="00D07F73">
        <w:t>ment</w:t>
      </w:r>
      <w:r w:rsidR="003F790E">
        <w:t xml:space="preserve"> of new affordable and market housing, the purchase of </w:t>
      </w:r>
      <w:r w:rsidR="00D07F73">
        <w:t xml:space="preserve">5 </w:t>
      </w:r>
      <w:r w:rsidR="003F790E">
        <w:t xml:space="preserve">void properties </w:t>
      </w:r>
      <w:r w:rsidR="00C32D43">
        <w:rPr>
          <w:lang w:val="en-GB"/>
        </w:rPr>
        <w:t xml:space="preserve">per annum </w:t>
      </w:r>
      <w:r w:rsidR="003F790E">
        <w:t xml:space="preserve">from the HRA and estate re-generation in The Leys and Barton. </w:t>
      </w:r>
    </w:p>
    <w:p w14:paraId="6B25C48B" w14:textId="77777777" w:rsidR="003F790E" w:rsidRDefault="003F790E" w:rsidP="003F790E">
      <w:pPr>
        <w:pStyle w:val="Default"/>
        <w:ind w:left="567" w:right="386"/>
        <w:jc w:val="both"/>
      </w:pPr>
    </w:p>
    <w:p w14:paraId="2346E84A" w14:textId="7DB916F3" w:rsidR="009E1C3C" w:rsidRDefault="00496A88" w:rsidP="003F790E">
      <w:pPr>
        <w:pStyle w:val="Default"/>
        <w:ind w:left="567" w:right="386" w:hanging="567"/>
        <w:jc w:val="both"/>
      </w:pPr>
      <w:r>
        <w:t>4</w:t>
      </w:r>
      <w:r w:rsidR="00BD0932">
        <w:t>8</w:t>
      </w:r>
      <w:r w:rsidR="003F790E">
        <w:tab/>
        <w:t xml:space="preserve">The Council will lend money to the Housing Company at state aid compliant rates of interest using its prudential borrowing powers with the company repaying the council either based on an annuity or overdraft method. The Council gave approval at its meeting </w:t>
      </w:r>
      <w:r w:rsidR="0018734E">
        <w:rPr>
          <w:lang w:val="en-GB"/>
        </w:rPr>
        <w:t xml:space="preserve">in </w:t>
      </w:r>
      <w:r w:rsidR="00CB2E55">
        <w:t xml:space="preserve">March </w:t>
      </w:r>
      <w:r w:rsidR="00CB2E55" w:rsidRPr="00CB2E55">
        <w:t>2016</w:t>
      </w:r>
      <w:r w:rsidR="003F790E" w:rsidRPr="00CB2E55">
        <w:t xml:space="preserve"> </w:t>
      </w:r>
      <w:r w:rsidR="0018734E">
        <w:rPr>
          <w:lang w:val="en-GB"/>
        </w:rPr>
        <w:t xml:space="preserve">for </w:t>
      </w:r>
      <w:r w:rsidR="003F790E">
        <w:t xml:space="preserve">loans to </w:t>
      </w:r>
      <w:r w:rsidR="0018734E">
        <w:rPr>
          <w:lang w:val="en-GB"/>
        </w:rPr>
        <w:t>be made t</w:t>
      </w:r>
      <w:r w:rsidR="00491B12">
        <w:rPr>
          <w:lang w:val="en-GB"/>
        </w:rPr>
        <w:t xml:space="preserve">o </w:t>
      </w:r>
      <w:r w:rsidR="003F790E">
        <w:t>the Housing Company for the acquisition of houses at Barton Park in 201</w:t>
      </w:r>
      <w:r w:rsidR="0001206E">
        <w:t>7</w:t>
      </w:r>
      <w:r w:rsidR="003F790E">
        <w:t>-1</w:t>
      </w:r>
      <w:r w:rsidR="0001206E">
        <w:t>8</w:t>
      </w:r>
      <w:r w:rsidR="003F790E">
        <w:t xml:space="preserve"> </w:t>
      </w:r>
      <w:r w:rsidR="00491B12">
        <w:rPr>
          <w:lang w:val="en-GB"/>
        </w:rPr>
        <w:t>(</w:t>
      </w:r>
      <w:r w:rsidR="003F790E">
        <w:t>£12.2</w:t>
      </w:r>
      <w:r w:rsidR="00CB2E55">
        <w:t>5</w:t>
      </w:r>
      <w:r w:rsidR="003F790E">
        <w:t>0 million</w:t>
      </w:r>
      <w:r w:rsidR="00491B12">
        <w:rPr>
          <w:lang w:val="en-GB"/>
        </w:rPr>
        <w:t xml:space="preserve">) </w:t>
      </w:r>
      <w:r w:rsidR="00CB2E55">
        <w:t xml:space="preserve">together with working capital </w:t>
      </w:r>
      <w:r w:rsidR="00491B12">
        <w:rPr>
          <w:lang w:val="en-GB"/>
        </w:rPr>
        <w:t>(</w:t>
      </w:r>
      <w:r w:rsidR="00CB2E55">
        <w:t>£250k</w:t>
      </w:r>
      <w:r w:rsidR="00491B12">
        <w:rPr>
          <w:lang w:val="en-GB"/>
        </w:rPr>
        <w:t>)</w:t>
      </w:r>
      <w:r w:rsidR="00CB2E55">
        <w:t>.</w:t>
      </w:r>
      <w:r w:rsidR="0001206E">
        <w:t xml:space="preserve"> </w:t>
      </w:r>
      <w:r w:rsidR="00412253">
        <w:t xml:space="preserve">The Companies Business Plan will be presented to </w:t>
      </w:r>
      <w:r w:rsidR="001810E8">
        <w:rPr>
          <w:lang w:val="en-GB"/>
        </w:rPr>
        <w:t xml:space="preserve">the </w:t>
      </w:r>
      <w:r w:rsidR="00412253">
        <w:t>City Executive Board in January 2017 for formal approval of the loans</w:t>
      </w:r>
      <w:r w:rsidR="001810E8">
        <w:rPr>
          <w:lang w:val="en-GB"/>
        </w:rPr>
        <w:t xml:space="preserve"> which are anticipated to be required </w:t>
      </w:r>
      <w:r w:rsidR="00C2274E">
        <w:rPr>
          <w:lang w:val="en-GB"/>
        </w:rPr>
        <w:t xml:space="preserve">as </w:t>
      </w:r>
      <w:proofErr w:type="gramStart"/>
      <w:r w:rsidR="00C2274E">
        <w:rPr>
          <w:lang w:val="en-GB"/>
        </w:rPr>
        <w:t>follows</w:t>
      </w:r>
      <w:r w:rsidR="003F790E">
        <w:t xml:space="preserve"> :</w:t>
      </w:r>
      <w:proofErr w:type="gramEnd"/>
    </w:p>
    <w:p w14:paraId="3BE4DF01" w14:textId="77777777" w:rsidR="003F790E" w:rsidRPr="006A42B3" w:rsidRDefault="003F790E" w:rsidP="003F790E">
      <w:pPr>
        <w:pStyle w:val="Default"/>
        <w:ind w:left="567" w:right="386"/>
        <w:jc w:val="both"/>
        <w:rPr>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72"/>
        <w:gridCol w:w="1572"/>
        <w:gridCol w:w="1572"/>
        <w:gridCol w:w="1572"/>
      </w:tblGrid>
      <w:tr w:rsidR="006A42B3" w14:paraId="69544D87" w14:textId="77777777" w:rsidTr="006A42B3">
        <w:tc>
          <w:tcPr>
            <w:tcW w:w="7824" w:type="dxa"/>
            <w:gridSpan w:val="5"/>
            <w:shd w:val="clear" w:color="auto" w:fill="BFBFBF" w:themeFill="background1" w:themeFillShade="BF"/>
          </w:tcPr>
          <w:p w14:paraId="67A969FF" w14:textId="19E152A8" w:rsidR="006A42B3" w:rsidRPr="00B22CFC" w:rsidRDefault="006A42B3" w:rsidP="006A42B3">
            <w:pPr>
              <w:pStyle w:val="Default"/>
              <w:ind w:right="386"/>
              <w:rPr>
                <w:b/>
              </w:rPr>
            </w:pPr>
            <w:r>
              <w:rPr>
                <w:b/>
              </w:rPr>
              <w:t>Table 12 : Loans to the Housing Company and Receipts to be received for the Company</w:t>
            </w:r>
          </w:p>
        </w:tc>
      </w:tr>
      <w:tr w:rsidR="006A42B3" w14:paraId="5B67E622" w14:textId="77777777" w:rsidTr="006A42B3">
        <w:tc>
          <w:tcPr>
            <w:tcW w:w="1536" w:type="dxa"/>
            <w:shd w:val="clear" w:color="auto" w:fill="auto"/>
          </w:tcPr>
          <w:p w14:paraId="21F6B142" w14:textId="77777777" w:rsidR="006A42B3" w:rsidRDefault="006A42B3" w:rsidP="00B22CFC">
            <w:pPr>
              <w:pStyle w:val="Default"/>
              <w:ind w:right="386"/>
              <w:jc w:val="both"/>
            </w:pPr>
          </w:p>
        </w:tc>
        <w:tc>
          <w:tcPr>
            <w:tcW w:w="1572" w:type="dxa"/>
            <w:shd w:val="clear" w:color="auto" w:fill="BFBFBF"/>
          </w:tcPr>
          <w:p w14:paraId="2C0EAEC8" w14:textId="77777777" w:rsidR="006A42B3" w:rsidRPr="00B22CFC" w:rsidRDefault="006A42B3" w:rsidP="00B22CFC">
            <w:pPr>
              <w:pStyle w:val="Default"/>
              <w:ind w:right="386"/>
              <w:jc w:val="center"/>
              <w:rPr>
                <w:b/>
              </w:rPr>
            </w:pPr>
            <w:r w:rsidRPr="00B22CFC">
              <w:rPr>
                <w:b/>
              </w:rPr>
              <w:t>2017/18</w:t>
            </w:r>
          </w:p>
        </w:tc>
        <w:tc>
          <w:tcPr>
            <w:tcW w:w="1572" w:type="dxa"/>
            <w:shd w:val="clear" w:color="auto" w:fill="BFBFBF"/>
          </w:tcPr>
          <w:p w14:paraId="4A53F9BC" w14:textId="77777777" w:rsidR="006A42B3" w:rsidRPr="00B22CFC" w:rsidRDefault="006A42B3" w:rsidP="00B22CFC">
            <w:pPr>
              <w:pStyle w:val="Default"/>
              <w:ind w:right="386"/>
              <w:jc w:val="center"/>
              <w:rPr>
                <w:b/>
              </w:rPr>
            </w:pPr>
            <w:r w:rsidRPr="00B22CFC">
              <w:rPr>
                <w:b/>
              </w:rPr>
              <w:t>2018/19</w:t>
            </w:r>
          </w:p>
        </w:tc>
        <w:tc>
          <w:tcPr>
            <w:tcW w:w="1572" w:type="dxa"/>
            <w:shd w:val="clear" w:color="auto" w:fill="BFBFBF"/>
          </w:tcPr>
          <w:p w14:paraId="12A07B4A" w14:textId="77777777" w:rsidR="006A42B3" w:rsidRPr="00B22CFC" w:rsidRDefault="006A42B3" w:rsidP="00B22CFC">
            <w:pPr>
              <w:pStyle w:val="Default"/>
              <w:ind w:right="386"/>
              <w:jc w:val="center"/>
              <w:rPr>
                <w:b/>
              </w:rPr>
            </w:pPr>
            <w:r w:rsidRPr="00B22CFC">
              <w:rPr>
                <w:b/>
              </w:rPr>
              <w:t>2019/20</w:t>
            </w:r>
          </w:p>
        </w:tc>
        <w:tc>
          <w:tcPr>
            <w:tcW w:w="1572" w:type="dxa"/>
            <w:shd w:val="clear" w:color="auto" w:fill="BFBFBF"/>
          </w:tcPr>
          <w:p w14:paraId="31A67F21" w14:textId="77777777" w:rsidR="006A42B3" w:rsidRPr="00B22CFC" w:rsidRDefault="006A42B3" w:rsidP="00B22CFC">
            <w:pPr>
              <w:pStyle w:val="Default"/>
              <w:ind w:right="386"/>
              <w:jc w:val="center"/>
              <w:rPr>
                <w:b/>
              </w:rPr>
            </w:pPr>
            <w:r w:rsidRPr="00B22CFC">
              <w:rPr>
                <w:b/>
              </w:rPr>
              <w:t>2020/21</w:t>
            </w:r>
          </w:p>
        </w:tc>
      </w:tr>
      <w:tr w:rsidR="006A42B3" w14:paraId="470FD5B7" w14:textId="77777777" w:rsidTr="006A42B3">
        <w:tc>
          <w:tcPr>
            <w:tcW w:w="1536" w:type="dxa"/>
            <w:shd w:val="clear" w:color="auto" w:fill="auto"/>
          </w:tcPr>
          <w:p w14:paraId="3BF49BB1" w14:textId="77777777" w:rsidR="006A42B3" w:rsidRDefault="006A42B3" w:rsidP="00B22CFC">
            <w:pPr>
              <w:pStyle w:val="Default"/>
              <w:ind w:right="386"/>
              <w:jc w:val="both"/>
            </w:pPr>
          </w:p>
        </w:tc>
        <w:tc>
          <w:tcPr>
            <w:tcW w:w="1572" w:type="dxa"/>
            <w:shd w:val="clear" w:color="auto" w:fill="BFBFBF"/>
          </w:tcPr>
          <w:p w14:paraId="1BF22E39" w14:textId="77777777" w:rsidR="006A42B3" w:rsidRPr="00B22CFC" w:rsidRDefault="006A42B3" w:rsidP="00B22CFC">
            <w:pPr>
              <w:jc w:val="center"/>
              <w:rPr>
                <w:b/>
              </w:rPr>
            </w:pPr>
            <w:r w:rsidRPr="00B22CFC">
              <w:rPr>
                <w:b/>
              </w:rPr>
              <w:t>£000’s</w:t>
            </w:r>
          </w:p>
        </w:tc>
        <w:tc>
          <w:tcPr>
            <w:tcW w:w="1572" w:type="dxa"/>
            <w:shd w:val="clear" w:color="auto" w:fill="BFBFBF"/>
          </w:tcPr>
          <w:p w14:paraId="34E3FEF9" w14:textId="77777777" w:rsidR="006A42B3" w:rsidRPr="00B22CFC" w:rsidRDefault="006A42B3" w:rsidP="00B22CFC">
            <w:pPr>
              <w:jc w:val="center"/>
              <w:rPr>
                <w:b/>
              </w:rPr>
            </w:pPr>
            <w:r w:rsidRPr="00B22CFC">
              <w:rPr>
                <w:b/>
              </w:rPr>
              <w:t>£000’s</w:t>
            </w:r>
          </w:p>
        </w:tc>
        <w:tc>
          <w:tcPr>
            <w:tcW w:w="1572" w:type="dxa"/>
            <w:shd w:val="clear" w:color="auto" w:fill="BFBFBF"/>
          </w:tcPr>
          <w:p w14:paraId="29B96E20" w14:textId="77777777" w:rsidR="006A42B3" w:rsidRPr="00B22CFC" w:rsidRDefault="006A42B3" w:rsidP="00B22CFC">
            <w:pPr>
              <w:jc w:val="center"/>
              <w:rPr>
                <w:b/>
              </w:rPr>
            </w:pPr>
            <w:r w:rsidRPr="00B22CFC">
              <w:rPr>
                <w:b/>
              </w:rPr>
              <w:t>£000’s</w:t>
            </w:r>
          </w:p>
        </w:tc>
        <w:tc>
          <w:tcPr>
            <w:tcW w:w="1572" w:type="dxa"/>
            <w:shd w:val="clear" w:color="auto" w:fill="BFBFBF"/>
          </w:tcPr>
          <w:p w14:paraId="49C28908" w14:textId="77777777" w:rsidR="006A42B3" w:rsidRPr="00B22CFC" w:rsidRDefault="006A42B3" w:rsidP="00B22CFC">
            <w:pPr>
              <w:jc w:val="center"/>
              <w:rPr>
                <w:b/>
              </w:rPr>
            </w:pPr>
            <w:r w:rsidRPr="00B22CFC">
              <w:rPr>
                <w:b/>
              </w:rPr>
              <w:t>£000’s</w:t>
            </w:r>
          </w:p>
        </w:tc>
      </w:tr>
      <w:tr w:rsidR="006A42B3" w14:paraId="10B52000" w14:textId="77777777" w:rsidTr="006A42B3">
        <w:tc>
          <w:tcPr>
            <w:tcW w:w="1536" w:type="dxa"/>
            <w:shd w:val="clear" w:color="auto" w:fill="auto"/>
          </w:tcPr>
          <w:p w14:paraId="4586B734" w14:textId="77777777" w:rsidR="006A42B3" w:rsidRDefault="006A42B3" w:rsidP="00B22CFC">
            <w:pPr>
              <w:pStyle w:val="Default"/>
              <w:ind w:right="386"/>
              <w:jc w:val="both"/>
            </w:pPr>
            <w:r>
              <w:t>Loan</w:t>
            </w:r>
          </w:p>
        </w:tc>
        <w:tc>
          <w:tcPr>
            <w:tcW w:w="1572" w:type="dxa"/>
            <w:shd w:val="clear" w:color="auto" w:fill="auto"/>
          </w:tcPr>
          <w:p w14:paraId="18932714" w14:textId="77777777" w:rsidR="006A42B3" w:rsidRDefault="006A42B3" w:rsidP="00B22CFC">
            <w:pPr>
              <w:pStyle w:val="Default"/>
              <w:tabs>
                <w:tab w:val="left" w:pos="1356"/>
              </w:tabs>
              <w:ind w:right="79"/>
              <w:jc w:val="right"/>
            </w:pPr>
            <w:r>
              <w:t>3,000</w:t>
            </w:r>
          </w:p>
        </w:tc>
        <w:tc>
          <w:tcPr>
            <w:tcW w:w="1572" w:type="dxa"/>
            <w:shd w:val="clear" w:color="auto" w:fill="auto"/>
          </w:tcPr>
          <w:p w14:paraId="604EFB30" w14:textId="77777777" w:rsidR="006A42B3" w:rsidRDefault="006A42B3" w:rsidP="00B22CFC">
            <w:pPr>
              <w:pStyle w:val="Default"/>
              <w:jc w:val="right"/>
            </w:pPr>
            <w:r>
              <w:t>30,000</w:t>
            </w:r>
          </w:p>
        </w:tc>
        <w:tc>
          <w:tcPr>
            <w:tcW w:w="1572" w:type="dxa"/>
            <w:shd w:val="clear" w:color="auto" w:fill="auto"/>
          </w:tcPr>
          <w:p w14:paraId="510740DF" w14:textId="77777777" w:rsidR="006A42B3" w:rsidRDefault="006A42B3" w:rsidP="00B22CFC">
            <w:pPr>
              <w:pStyle w:val="Default"/>
              <w:ind w:right="50"/>
              <w:jc w:val="right"/>
            </w:pPr>
            <w:r>
              <w:t>16,000</w:t>
            </w:r>
          </w:p>
        </w:tc>
        <w:tc>
          <w:tcPr>
            <w:tcW w:w="1572" w:type="dxa"/>
            <w:shd w:val="clear" w:color="auto" w:fill="auto"/>
          </w:tcPr>
          <w:p w14:paraId="1E507C16" w14:textId="77777777" w:rsidR="006A42B3" w:rsidRDefault="006A42B3" w:rsidP="00B22CFC">
            <w:pPr>
              <w:pStyle w:val="Default"/>
              <w:ind w:right="107"/>
              <w:jc w:val="right"/>
            </w:pPr>
            <w:r>
              <w:t>11,000</w:t>
            </w:r>
          </w:p>
        </w:tc>
      </w:tr>
      <w:tr w:rsidR="006A42B3" w14:paraId="621B3B2E" w14:textId="77777777" w:rsidTr="006A42B3">
        <w:tc>
          <w:tcPr>
            <w:tcW w:w="1536" w:type="dxa"/>
            <w:shd w:val="clear" w:color="auto" w:fill="auto"/>
          </w:tcPr>
          <w:p w14:paraId="0F9968D5" w14:textId="77777777" w:rsidR="006A42B3" w:rsidRDefault="006A42B3" w:rsidP="00B22CFC">
            <w:pPr>
              <w:pStyle w:val="Default"/>
              <w:ind w:right="386"/>
              <w:jc w:val="both"/>
            </w:pPr>
            <w:r>
              <w:t>Capital Receipts</w:t>
            </w:r>
          </w:p>
        </w:tc>
        <w:tc>
          <w:tcPr>
            <w:tcW w:w="1572" w:type="dxa"/>
            <w:shd w:val="clear" w:color="auto" w:fill="auto"/>
          </w:tcPr>
          <w:p w14:paraId="36420C81" w14:textId="77777777" w:rsidR="006A42B3" w:rsidRDefault="006A42B3" w:rsidP="00B22CFC">
            <w:pPr>
              <w:pStyle w:val="Default"/>
              <w:jc w:val="right"/>
            </w:pPr>
            <w:r>
              <w:t>(900)</w:t>
            </w:r>
          </w:p>
        </w:tc>
        <w:tc>
          <w:tcPr>
            <w:tcW w:w="1572" w:type="dxa"/>
            <w:shd w:val="clear" w:color="auto" w:fill="auto"/>
          </w:tcPr>
          <w:p w14:paraId="1EE676C6" w14:textId="77777777" w:rsidR="006A42B3" w:rsidRDefault="006A42B3" w:rsidP="00B22CFC">
            <w:pPr>
              <w:pStyle w:val="Default"/>
              <w:jc w:val="right"/>
            </w:pPr>
            <w:r>
              <w:t>(2,813)</w:t>
            </w:r>
          </w:p>
        </w:tc>
        <w:tc>
          <w:tcPr>
            <w:tcW w:w="1572" w:type="dxa"/>
            <w:shd w:val="clear" w:color="auto" w:fill="auto"/>
          </w:tcPr>
          <w:p w14:paraId="0A674F77" w14:textId="77777777" w:rsidR="006A42B3" w:rsidRDefault="006A42B3" w:rsidP="00B22CFC">
            <w:pPr>
              <w:pStyle w:val="Default"/>
              <w:tabs>
                <w:tab w:val="left" w:pos="1356"/>
              </w:tabs>
              <w:jc w:val="right"/>
            </w:pPr>
            <w:r>
              <w:t>(1,000)</w:t>
            </w:r>
          </w:p>
        </w:tc>
        <w:tc>
          <w:tcPr>
            <w:tcW w:w="1572" w:type="dxa"/>
            <w:shd w:val="clear" w:color="auto" w:fill="auto"/>
          </w:tcPr>
          <w:p w14:paraId="38605149" w14:textId="77777777" w:rsidR="006A42B3" w:rsidRDefault="006A42B3" w:rsidP="00B22CFC">
            <w:pPr>
              <w:pStyle w:val="Default"/>
              <w:ind w:right="107"/>
              <w:jc w:val="right"/>
            </w:pPr>
            <w:r>
              <w:t>(1,000)</w:t>
            </w:r>
          </w:p>
        </w:tc>
      </w:tr>
      <w:tr w:rsidR="006A42B3" w14:paraId="2A608F08" w14:textId="77777777" w:rsidTr="006A42B3">
        <w:tc>
          <w:tcPr>
            <w:tcW w:w="1536" w:type="dxa"/>
            <w:shd w:val="clear" w:color="auto" w:fill="auto"/>
          </w:tcPr>
          <w:p w14:paraId="49BA2F7F" w14:textId="77777777" w:rsidR="006A42B3" w:rsidRDefault="006A42B3" w:rsidP="00B22CFC">
            <w:pPr>
              <w:pStyle w:val="Default"/>
              <w:ind w:right="386"/>
              <w:jc w:val="both"/>
            </w:pPr>
          </w:p>
        </w:tc>
        <w:tc>
          <w:tcPr>
            <w:tcW w:w="1572" w:type="dxa"/>
            <w:shd w:val="clear" w:color="auto" w:fill="auto"/>
          </w:tcPr>
          <w:p w14:paraId="1CFD2ABE" w14:textId="77777777" w:rsidR="006A42B3" w:rsidRDefault="006A42B3" w:rsidP="00B22CFC">
            <w:pPr>
              <w:pStyle w:val="Default"/>
              <w:ind w:right="386"/>
              <w:jc w:val="both"/>
            </w:pPr>
          </w:p>
        </w:tc>
        <w:tc>
          <w:tcPr>
            <w:tcW w:w="1572" w:type="dxa"/>
            <w:shd w:val="clear" w:color="auto" w:fill="auto"/>
          </w:tcPr>
          <w:p w14:paraId="375D6CA0" w14:textId="77777777" w:rsidR="006A42B3" w:rsidRDefault="006A42B3" w:rsidP="00B22CFC">
            <w:pPr>
              <w:pStyle w:val="Default"/>
              <w:ind w:right="386"/>
              <w:jc w:val="both"/>
            </w:pPr>
          </w:p>
        </w:tc>
        <w:tc>
          <w:tcPr>
            <w:tcW w:w="1572" w:type="dxa"/>
            <w:shd w:val="clear" w:color="auto" w:fill="auto"/>
          </w:tcPr>
          <w:p w14:paraId="161D1968" w14:textId="77777777" w:rsidR="006A42B3" w:rsidRDefault="006A42B3" w:rsidP="00B22CFC">
            <w:pPr>
              <w:pStyle w:val="Default"/>
              <w:ind w:right="386"/>
              <w:jc w:val="both"/>
            </w:pPr>
          </w:p>
        </w:tc>
        <w:tc>
          <w:tcPr>
            <w:tcW w:w="1572" w:type="dxa"/>
            <w:shd w:val="clear" w:color="auto" w:fill="auto"/>
          </w:tcPr>
          <w:p w14:paraId="7564781B" w14:textId="77777777" w:rsidR="006A42B3" w:rsidRDefault="006A42B3" w:rsidP="00B22CFC">
            <w:pPr>
              <w:pStyle w:val="Default"/>
              <w:ind w:right="386"/>
              <w:jc w:val="both"/>
            </w:pPr>
          </w:p>
        </w:tc>
      </w:tr>
      <w:tr w:rsidR="006A42B3" w14:paraId="04EA2C57" w14:textId="77777777" w:rsidTr="006A42B3">
        <w:tc>
          <w:tcPr>
            <w:tcW w:w="1536" w:type="dxa"/>
            <w:shd w:val="clear" w:color="auto" w:fill="auto"/>
          </w:tcPr>
          <w:p w14:paraId="555BFD0C" w14:textId="77777777" w:rsidR="006A42B3" w:rsidRDefault="006A42B3" w:rsidP="00B22CFC">
            <w:pPr>
              <w:pStyle w:val="Default"/>
              <w:ind w:right="386"/>
              <w:jc w:val="both"/>
            </w:pPr>
            <w:r>
              <w:t>Net</w:t>
            </w:r>
          </w:p>
        </w:tc>
        <w:tc>
          <w:tcPr>
            <w:tcW w:w="1572" w:type="dxa"/>
            <w:shd w:val="clear" w:color="auto" w:fill="auto"/>
          </w:tcPr>
          <w:p w14:paraId="4F7A78C6" w14:textId="77777777" w:rsidR="006A42B3" w:rsidRDefault="006A42B3" w:rsidP="00B22CFC">
            <w:pPr>
              <w:pStyle w:val="Default"/>
              <w:ind w:right="68"/>
              <w:jc w:val="right"/>
            </w:pPr>
            <w:r>
              <w:t>2,100</w:t>
            </w:r>
          </w:p>
        </w:tc>
        <w:tc>
          <w:tcPr>
            <w:tcW w:w="1572" w:type="dxa"/>
            <w:shd w:val="clear" w:color="auto" w:fill="auto"/>
          </w:tcPr>
          <w:p w14:paraId="28782B08" w14:textId="77777777" w:rsidR="006A42B3" w:rsidRDefault="006A42B3" w:rsidP="00B22CFC">
            <w:pPr>
              <w:pStyle w:val="Default"/>
              <w:jc w:val="right"/>
            </w:pPr>
            <w:r>
              <w:t>27,187</w:t>
            </w:r>
          </w:p>
        </w:tc>
        <w:tc>
          <w:tcPr>
            <w:tcW w:w="1572" w:type="dxa"/>
            <w:shd w:val="clear" w:color="auto" w:fill="auto"/>
          </w:tcPr>
          <w:p w14:paraId="2517A959" w14:textId="77777777" w:rsidR="006A42B3" w:rsidRDefault="006A42B3" w:rsidP="00B22CFC">
            <w:pPr>
              <w:pStyle w:val="Default"/>
              <w:ind w:right="94"/>
              <w:jc w:val="right"/>
            </w:pPr>
            <w:r>
              <w:t>15,000</w:t>
            </w:r>
          </w:p>
        </w:tc>
        <w:tc>
          <w:tcPr>
            <w:tcW w:w="1572" w:type="dxa"/>
            <w:shd w:val="clear" w:color="auto" w:fill="auto"/>
          </w:tcPr>
          <w:p w14:paraId="17C89433" w14:textId="77777777" w:rsidR="006A42B3" w:rsidRDefault="006A42B3" w:rsidP="00B22CFC">
            <w:pPr>
              <w:pStyle w:val="Default"/>
              <w:ind w:right="107"/>
              <w:jc w:val="right"/>
            </w:pPr>
            <w:r>
              <w:t>9,000</w:t>
            </w:r>
          </w:p>
        </w:tc>
      </w:tr>
    </w:tbl>
    <w:p w14:paraId="26B3C7D8" w14:textId="77777777" w:rsidR="003F790E" w:rsidRPr="00315719" w:rsidRDefault="003F790E" w:rsidP="00496A88">
      <w:pPr>
        <w:pStyle w:val="Default"/>
        <w:ind w:right="386"/>
        <w:jc w:val="both"/>
      </w:pPr>
    </w:p>
    <w:p w14:paraId="5A0672D3" w14:textId="297AC4D5" w:rsidR="003F790E" w:rsidRDefault="00BD0932" w:rsidP="003F790E">
      <w:pPr>
        <w:pStyle w:val="Default"/>
        <w:ind w:left="567" w:right="386" w:hanging="567"/>
        <w:jc w:val="both"/>
      </w:pPr>
      <w:r>
        <w:t>49</w:t>
      </w:r>
      <w:r w:rsidR="003F790E">
        <w:tab/>
      </w:r>
      <w:r w:rsidR="003F790E" w:rsidRPr="00C73BD1">
        <w:t xml:space="preserve">Over the next </w:t>
      </w:r>
      <w:r w:rsidR="00412253">
        <w:t>4</w:t>
      </w:r>
      <w:r w:rsidR="003F790E" w:rsidRPr="00C73BD1">
        <w:t xml:space="preserve"> years loans from the Council are in the region of £</w:t>
      </w:r>
      <w:r w:rsidR="00412253">
        <w:t>6</w:t>
      </w:r>
      <w:r w:rsidR="003F790E" w:rsidRPr="00C73BD1">
        <w:t xml:space="preserve">0million </w:t>
      </w:r>
      <w:r w:rsidR="003F790E">
        <w:t xml:space="preserve">facilitating the </w:t>
      </w:r>
      <w:r w:rsidR="003F790E" w:rsidRPr="00C73BD1">
        <w:t>constructi</w:t>
      </w:r>
      <w:r w:rsidR="003F790E">
        <w:t>o</w:t>
      </w:r>
      <w:r w:rsidR="003F790E" w:rsidRPr="00C73BD1">
        <w:t>n and acqu</w:t>
      </w:r>
      <w:r w:rsidR="003F790E">
        <w:t>is</w:t>
      </w:r>
      <w:r w:rsidR="003F790E" w:rsidRPr="00C73BD1">
        <w:t>i</w:t>
      </w:r>
      <w:r w:rsidR="003F790E">
        <w:t>tion</w:t>
      </w:r>
      <w:r w:rsidR="003F790E" w:rsidRPr="00C73BD1">
        <w:t xml:space="preserve"> </w:t>
      </w:r>
      <w:r w:rsidR="003F790E">
        <w:t xml:space="preserve">of </w:t>
      </w:r>
      <w:r w:rsidR="003F790E" w:rsidRPr="00C73BD1">
        <w:t>approximately 500 new dwellings</w:t>
      </w:r>
      <w:r w:rsidR="003F790E">
        <w:t>. In addition to capital receipts</w:t>
      </w:r>
      <w:r w:rsidR="00D07F73">
        <w:t>,</w:t>
      </w:r>
      <w:r w:rsidR="003F790E">
        <w:t xml:space="preserve"> loan repayments will be made by the company</w:t>
      </w:r>
      <w:r w:rsidR="00F7549B">
        <w:rPr>
          <w:lang w:val="en-GB"/>
        </w:rPr>
        <w:t xml:space="preserve"> back</w:t>
      </w:r>
      <w:r w:rsidR="003F790E">
        <w:t xml:space="preserve"> to </w:t>
      </w:r>
      <w:r w:rsidR="00C2274E">
        <w:rPr>
          <w:lang w:val="en-GB"/>
        </w:rPr>
        <w:t xml:space="preserve">the </w:t>
      </w:r>
      <w:r w:rsidR="003F790E">
        <w:t>Council</w:t>
      </w:r>
      <w:proofErr w:type="gramStart"/>
      <w:r w:rsidR="00F7549B">
        <w:rPr>
          <w:lang w:val="en-GB"/>
        </w:rPr>
        <w:t>.</w:t>
      </w:r>
      <w:r w:rsidR="003F790E">
        <w:t>.</w:t>
      </w:r>
      <w:proofErr w:type="gramEnd"/>
      <w:r w:rsidR="003F790E">
        <w:t xml:space="preserve"> </w:t>
      </w:r>
    </w:p>
    <w:p w14:paraId="446FDBD3" w14:textId="77777777" w:rsidR="003F790E" w:rsidRDefault="003F790E" w:rsidP="003F790E">
      <w:pPr>
        <w:pStyle w:val="Default"/>
        <w:ind w:left="567" w:right="386" w:hanging="567"/>
        <w:jc w:val="both"/>
      </w:pPr>
    </w:p>
    <w:p w14:paraId="1250F8F5" w14:textId="23F13932" w:rsidR="003F790E" w:rsidRDefault="003F790E" w:rsidP="002B7914">
      <w:pPr>
        <w:pStyle w:val="Default"/>
        <w:ind w:left="567" w:right="386" w:hanging="567"/>
        <w:jc w:val="both"/>
        <w:rPr>
          <w:b/>
        </w:rPr>
      </w:pPr>
      <w:r w:rsidRPr="003F790E">
        <w:rPr>
          <w:b/>
        </w:rPr>
        <w:t>O</w:t>
      </w:r>
      <w:r w:rsidR="006A42B3">
        <w:rPr>
          <w:b/>
        </w:rPr>
        <w:t xml:space="preserve">xford </w:t>
      </w:r>
      <w:r w:rsidRPr="003F790E">
        <w:rPr>
          <w:b/>
        </w:rPr>
        <w:t>W</w:t>
      </w:r>
      <w:r w:rsidR="006A42B3">
        <w:rPr>
          <w:b/>
        </w:rPr>
        <w:t xml:space="preserve">est </w:t>
      </w:r>
      <w:r w:rsidRPr="003F790E">
        <w:rPr>
          <w:b/>
        </w:rPr>
        <w:t>E</w:t>
      </w:r>
      <w:r w:rsidR="006A42B3">
        <w:rPr>
          <w:b/>
        </w:rPr>
        <w:t xml:space="preserve">nd </w:t>
      </w:r>
      <w:r w:rsidRPr="003F790E">
        <w:rPr>
          <w:b/>
        </w:rPr>
        <w:t>D</w:t>
      </w:r>
      <w:r w:rsidR="006A42B3">
        <w:rPr>
          <w:b/>
        </w:rPr>
        <w:t>evelopment (OXWED)</w:t>
      </w:r>
    </w:p>
    <w:p w14:paraId="476B9789" w14:textId="55593BE6" w:rsidR="003F790E" w:rsidRPr="003F790E" w:rsidRDefault="008B0313" w:rsidP="002B7914">
      <w:pPr>
        <w:pStyle w:val="Default"/>
        <w:ind w:left="567" w:right="386" w:hanging="567"/>
        <w:jc w:val="both"/>
      </w:pPr>
      <w:r>
        <w:t>5</w:t>
      </w:r>
      <w:r w:rsidR="00BD0932">
        <w:t>0</w:t>
      </w:r>
      <w:r w:rsidR="003F790E" w:rsidRPr="00BC163D">
        <w:tab/>
      </w:r>
      <w:r w:rsidR="003F790E">
        <w:t xml:space="preserve">The Council has a 50/50 partnership with Nuffield </w:t>
      </w:r>
      <w:r w:rsidR="00A83443">
        <w:t>College</w:t>
      </w:r>
      <w:r w:rsidR="003F790E">
        <w:t xml:space="preserve"> to undertake the development of the land at </w:t>
      </w:r>
      <w:proofErr w:type="spellStart"/>
      <w:r w:rsidR="003F790E">
        <w:t>Ox</w:t>
      </w:r>
      <w:r w:rsidR="00A83443">
        <w:t>pens</w:t>
      </w:r>
      <w:proofErr w:type="spellEnd"/>
      <w:r w:rsidR="003F790E">
        <w:t xml:space="preserve">. The Council has already approved loans totaling £4.1 million as </w:t>
      </w:r>
      <w:r w:rsidR="00412253">
        <w:t>its</w:t>
      </w:r>
      <w:r w:rsidR="003F790E">
        <w:t xml:space="preserve"> 50% share of the cost of purchasing </w:t>
      </w:r>
      <w:r w:rsidR="00412253">
        <w:t xml:space="preserve">additional </w:t>
      </w:r>
      <w:r w:rsidR="003F790E">
        <w:t>land in December 2017</w:t>
      </w:r>
      <w:r w:rsidR="00412253">
        <w:t>. In addition</w:t>
      </w:r>
      <w:r w:rsidR="00F7549B">
        <w:rPr>
          <w:lang w:val="en-GB"/>
        </w:rPr>
        <w:t xml:space="preserve">, </w:t>
      </w:r>
      <w:r w:rsidR="00EA5D28">
        <w:t xml:space="preserve">loans </w:t>
      </w:r>
      <w:r w:rsidR="00412253">
        <w:t xml:space="preserve">have also been approved </w:t>
      </w:r>
      <w:r w:rsidR="00EA5D28">
        <w:t xml:space="preserve">to fund </w:t>
      </w:r>
      <w:r w:rsidR="003F790E">
        <w:t xml:space="preserve">working capital of £100k but the Company cash flow statement </w:t>
      </w:r>
      <w:r w:rsidR="00D07F73">
        <w:t xml:space="preserve">indicates </w:t>
      </w:r>
      <w:r w:rsidR="003F790E" w:rsidRPr="00EA5D28">
        <w:t xml:space="preserve">a further </w:t>
      </w:r>
      <w:r w:rsidR="00EA5D28" w:rsidRPr="00EA5D28">
        <w:t>advance of up to £50k w</w:t>
      </w:r>
      <w:r w:rsidR="00D07F73" w:rsidRPr="00EA5D28">
        <w:t>ill</w:t>
      </w:r>
      <w:r w:rsidR="00D07F73">
        <w:t xml:space="preserve"> be required to </w:t>
      </w:r>
      <w:r w:rsidR="00BC163D">
        <w:t xml:space="preserve">provide </w:t>
      </w:r>
      <w:r w:rsidR="00412253">
        <w:t>it</w:t>
      </w:r>
      <w:r w:rsidR="00BC163D">
        <w:t xml:space="preserve"> </w:t>
      </w:r>
      <w:r w:rsidR="00D07F73">
        <w:t xml:space="preserve">with </w:t>
      </w:r>
      <w:r w:rsidR="00BC163D">
        <w:t xml:space="preserve">sufficient funds </w:t>
      </w:r>
      <w:r w:rsidR="00D07F73">
        <w:t xml:space="preserve">up to March </w:t>
      </w:r>
      <w:r w:rsidR="00BC163D">
        <w:t xml:space="preserve">2018. Nuffield </w:t>
      </w:r>
      <w:r w:rsidR="00A83443">
        <w:t>College</w:t>
      </w:r>
      <w:r w:rsidR="00BC163D">
        <w:t xml:space="preserve"> will be matching this amount</w:t>
      </w:r>
      <w:r w:rsidR="00412253">
        <w:t>.</w:t>
      </w:r>
      <w:r w:rsidR="00BC163D">
        <w:t xml:space="preserve"> </w:t>
      </w:r>
    </w:p>
    <w:p w14:paraId="05A13605" w14:textId="77777777" w:rsidR="003F790E" w:rsidRPr="008A33CB" w:rsidRDefault="003F790E" w:rsidP="002B7914">
      <w:pPr>
        <w:pStyle w:val="Default"/>
        <w:ind w:left="567" w:right="386" w:hanging="567"/>
        <w:jc w:val="both"/>
      </w:pPr>
    </w:p>
    <w:p w14:paraId="14A209BA" w14:textId="77777777" w:rsidR="00852272" w:rsidRPr="008A33CB" w:rsidRDefault="00595153" w:rsidP="00595153">
      <w:pPr>
        <w:pStyle w:val="Default"/>
        <w:ind w:left="567" w:right="386" w:hanging="567"/>
        <w:jc w:val="both"/>
        <w:rPr>
          <w:b/>
          <w:color w:val="auto"/>
        </w:rPr>
      </w:pPr>
      <w:r w:rsidRPr="008A33CB">
        <w:tab/>
      </w:r>
      <w:r w:rsidR="00852272" w:rsidRPr="008A33CB">
        <w:rPr>
          <w:b/>
          <w:color w:val="auto"/>
        </w:rPr>
        <w:t xml:space="preserve">Housing Revenue Account Capital </w:t>
      </w:r>
      <w:proofErr w:type="spellStart"/>
      <w:r w:rsidR="00852272" w:rsidRPr="008A33CB">
        <w:rPr>
          <w:b/>
          <w:color w:val="auto"/>
        </w:rPr>
        <w:t>Programme</w:t>
      </w:r>
      <w:proofErr w:type="spellEnd"/>
    </w:p>
    <w:p w14:paraId="275BE8FB" w14:textId="77777777" w:rsidR="00153780" w:rsidRPr="008A33CB" w:rsidRDefault="00153780" w:rsidP="000E5A24">
      <w:pPr>
        <w:pStyle w:val="Default"/>
        <w:ind w:right="386" w:firstLine="720"/>
        <w:jc w:val="both"/>
        <w:rPr>
          <w:b/>
          <w:color w:val="auto"/>
        </w:rPr>
      </w:pPr>
    </w:p>
    <w:p w14:paraId="0C05B8CF" w14:textId="01070E4A" w:rsidR="00614D4F" w:rsidRPr="00ED125A" w:rsidRDefault="00496A88" w:rsidP="002B7914">
      <w:pPr>
        <w:pStyle w:val="Default"/>
        <w:ind w:left="567" w:right="386" w:hanging="567"/>
        <w:jc w:val="both"/>
        <w:rPr>
          <w:color w:val="auto"/>
        </w:rPr>
      </w:pPr>
      <w:r>
        <w:rPr>
          <w:color w:val="auto"/>
        </w:rPr>
        <w:t>5</w:t>
      </w:r>
      <w:r w:rsidR="00BD0932">
        <w:rPr>
          <w:color w:val="auto"/>
        </w:rPr>
        <w:t>1</w:t>
      </w:r>
      <w:r w:rsidR="00F34E29" w:rsidRPr="008A33CB">
        <w:rPr>
          <w:color w:val="auto"/>
        </w:rPr>
        <w:tab/>
      </w:r>
      <w:r w:rsidR="00852272" w:rsidRPr="008A33CB">
        <w:rPr>
          <w:color w:val="auto"/>
        </w:rPr>
        <w:t xml:space="preserve">The draft HRA Capital </w:t>
      </w:r>
      <w:proofErr w:type="spellStart"/>
      <w:r w:rsidR="00852272" w:rsidRPr="008A33CB">
        <w:rPr>
          <w:color w:val="auto"/>
        </w:rPr>
        <w:t>Programme</w:t>
      </w:r>
      <w:proofErr w:type="spellEnd"/>
      <w:r w:rsidR="00852272" w:rsidRPr="008A33CB">
        <w:rPr>
          <w:color w:val="auto"/>
        </w:rPr>
        <w:t xml:space="preserve"> </w:t>
      </w:r>
      <w:r w:rsidR="00AA5E8E" w:rsidRPr="008A33CB">
        <w:rPr>
          <w:color w:val="auto"/>
        </w:rPr>
        <w:t xml:space="preserve">is </w:t>
      </w:r>
      <w:r w:rsidR="001C6317" w:rsidRPr="008A33CB">
        <w:rPr>
          <w:color w:val="auto"/>
        </w:rPr>
        <w:t>intrinsically</w:t>
      </w:r>
      <w:r w:rsidR="00AA5E8E" w:rsidRPr="008A33CB">
        <w:rPr>
          <w:color w:val="auto"/>
        </w:rPr>
        <w:t xml:space="preserve"> linked to the </w:t>
      </w:r>
      <w:r w:rsidR="000F525A" w:rsidRPr="008A33CB">
        <w:rPr>
          <w:color w:val="auto"/>
        </w:rPr>
        <w:t>HRA</w:t>
      </w:r>
      <w:r w:rsidR="00AA5E8E" w:rsidRPr="008A33CB">
        <w:rPr>
          <w:color w:val="auto"/>
        </w:rPr>
        <w:t xml:space="preserve"> </w:t>
      </w:r>
      <w:r w:rsidR="00E34F9A" w:rsidRPr="008A33CB">
        <w:rPr>
          <w:color w:val="auto"/>
        </w:rPr>
        <w:t>B</w:t>
      </w:r>
      <w:r w:rsidR="00AA5E8E" w:rsidRPr="008A33CB">
        <w:rPr>
          <w:color w:val="auto"/>
        </w:rPr>
        <w:t xml:space="preserve">usiness </w:t>
      </w:r>
      <w:r w:rsidR="0048458E" w:rsidRPr="008A33CB">
        <w:rPr>
          <w:color w:val="auto"/>
        </w:rPr>
        <w:t>P</w:t>
      </w:r>
      <w:r w:rsidR="00AA5E8E" w:rsidRPr="008A33CB">
        <w:rPr>
          <w:color w:val="auto"/>
        </w:rPr>
        <w:t>lan</w:t>
      </w:r>
      <w:r w:rsidR="000F525A" w:rsidRPr="008A33CB">
        <w:rPr>
          <w:color w:val="auto"/>
        </w:rPr>
        <w:t xml:space="preserve"> since the resources to fund the </w:t>
      </w:r>
      <w:r w:rsidR="000A731F">
        <w:rPr>
          <w:color w:val="auto"/>
          <w:lang w:val="en-GB"/>
        </w:rPr>
        <w:t xml:space="preserve">Programme </w:t>
      </w:r>
      <w:r w:rsidR="000F525A" w:rsidRPr="008A33CB">
        <w:rPr>
          <w:color w:val="auto"/>
        </w:rPr>
        <w:t xml:space="preserve">are largely generated through </w:t>
      </w:r>
      <w:r w:rsidR="00614D4F" w:rsidRPr="008A33CB">
        <w:rPr>
          <w:color w:val="auto"/>
        </w:rPr>
        <w:t>housing</w:t>
      </w:r>
      <w:r w:rsidR="00614D4F" w:rsidRPr="00ED125A">
        <w:rPr>
          <w:color w:val="auto"/>
        </w:rPr>
        <w:t xml:space="preserve"> rents</w:t>
      </w:r>
      <w:r w:rsidR="00AA5E8E" w:rsidRPr="00ED125A">
        <w:rPr>
          <w:color w:val="auto"/>
        </w:rPr>
        <w:t>.</w:t>
      </w:r>
      <w:r w:rsidR="00614D4F" w:rsidRPr="00ED125A">
        <w:rPr>
          <w:color w:val="auto"/>
        </w:rPr>
        <w:t xml:space="preserve"> All Capital projects in the existing </w:t>
      </w:r>
      <w:proofErr w:type="spellStart"/>
      <w:r w:rsidR="00412253">
        <w:rPr>
          <w:color w:val="auto"/>
        </w:rPr>
        <w:t>P</w:t>
      </w:r>
      <w:r w:rsidR="00614D4F" w:rsidRPr="00ED125A">
        <w:rPr>
          <w:color w:val="auto"/>
        </w:rPr>
        <w:t>rogramme</w:t>
      </w:r>
      <w:proofErr w:type="spellEnd"/>
      <w:r w:rsidR="00614D4F" w:rsidRPr="00ED125A">
        <w:rPr>
          <w:color w:val="auto"/>
        </w:rPr>
        <w:t xml:space="preserve"> have been considered and adjustments made accordingly. </w:t>
      </w:r>
    </w:p>
    <w:p w14:paraId="528F8596" w14:textId="77777777" w:rsidR="00614D4F" w:rsidRPr="00ED125A" w:rsidRDefault="00614D4F" w:rsidP="00614D4F">
      <w:pPr>
        <w:pStyle w:val="Default"/>
        <w:ind w:left="567" w:right="386"/>
        <w:jc w:val="both"/>
        <w:rPr>
          <w:color w:val="auto"/>
        </w:rPr>
      </w:pPr>
    </w:p>
    <w:p w14:paraId="6704A1A8" w14:textId="6DE63A43" w:rsidR="00C043C5" w:rsidRDefault="00496A88" w:rsidP="0010427B">
      <w:pPr>
        <w:pStyle w:val="Default"/>
        <w:ind w:left="567" w:right="386" w:hanging="567"/>
        <w:jc w:val="both"/>
        <w:rPr>
          <w:color w:val="auto"/>
        </w:rPr>
      </w:pPr>
      <w:r>
        <w:rPr>
          <w:color w:val="auto"/>
        </w:rPr>
        <w:t>5</w:t>
      </w:r>
      <w:r w:rsidR="00BD0932">
        <w:rPr>
          <w:color w:val="auto"/>
        </w:rPr>
        <w:t>2</w:t>
      </w:r>
      <w:r w:rsidR="0010427B">
        <w:rPr>
          <w:color w:val="auto"/>
        </w:rPr>
        <w:tab/>
      </w:r>
      <w:r w:rsidR="00777CC8" w:rsidRPr="00ED125A">
        <w:rPr>
          <w:color w:val="auto"/>
        </w:rPr>
        <w:t>F</w:t>
      </w:r>
      <w:r w:rsidR="00C043C5" w:rsidRPr="00ED125A">
        <w:rPr>
          <w:color w:val="auto"/>
        </w:rPr>
        <w:t xml:space="preserve">or </w:t>
      </w:r>
      <w:r w:rsidR="00775665" w:rsidRPr="00ED125A">
        <w:rPr>
          <w:color w:val="auto"/>
        </w:rPr>
        <w:t>p</w:t>
      </w:r>
      <w:r w:rsidR="00C043C5" w:rsidRPr="00ED125A">
        <w:rPr>
          <w:color w:val="auto"/>
        </w:rPr>
        <w:t xml:space="preserve">lanning purposes a </w:t>
      </w:r>
      <w:r w:rsidR="000F525A" w:rsidRPr="00ED125A">
        <w:rPr>
          <w:color w:val="auto"/>
        </w:rPr>
        <w:t>4</w:t>
      </w:r>
      <w:r w:rsidR="00C043C5" w:rsidRPr="00ED125A">
        <w:rPr>
          <w:color w:val="auto"/>
        </w:rPr>
        <w:t xml:space="preserve"> year period is considered </w:t>
      </w:r>
      <w:r w:rsidR="004908A9" w:rsidRPr="00ED125A">
        <w:rPr>
          <w:color w:val="auto"/>
        </w:rPr>
        <w:t xml:space="preserve">in detail </w:t>
      </w:r>
      <w:r w:rsidR="00C043C5" w:rsidRPr="00ED125A">
        <w:rPr>
          <w:color w:val="auto"/>
        </w:rPr>
        <w:t xml:space="preserve">and this is shown in Appendix </w:t>
      </w:r>
      <w:r w:rsidR="00F948E1" w:rsidRPr="00ED125A">
        <w:rPr>
          <w:color w:val="auto"/>
        </w:rPr>
        <w:t>6</w:t>
      </w:r>
      <w:r w:rsidR="00C043C5" w:rsidRPr="00ED125A">
        <w:rPr>
          <w:color w:val="auto"/>
        </w:rPr>
        <w:t xml:space="preserve">. In summary spend over </w:t>
      </w:r>
      <w:proofErr w:type="spellStart"/>
      <w:r w:rsidR="00C043C5" w:rsidRPr="00ED125A">
        <w:rPr>
          <w:color w:val="auto"/>
        </w:rPr>
        <w:t>th</w:t>
      </w:r>
      <w:proofErr w:type="spellEnd"/>
      <w:r w:rsidR="00D878DA">
        <w:rPr>
          <w:color w:val="auto"/>
          <w:lang w:val="en-GB"/>
        </w:rPr>
        <w:t xml:space="preserve">e </w:t>
      </w:r>
      <w:r w:rsidR="00567211" w:rsidRPr="00ED125A">
        <w:rPr>
          <w:color w:val="auto"/>
        </w:rPr>
        <w:t>4</w:t>
      </w:r>
      <w:r w:rsidR="00C043C5" w:rsidRPr="00ED125A">
        <w:rPr>
          <w:color w:val="auto"/>
        </w:rPr>
        <w:t xml:space="preserve"> year </w:t>
      </w:r>
      <w:r w:rsidR="00D878DA">
        <w:rPr>
          <w:color w:val="auto"/>
          <w:lang w:val="en-GB"/>
        </w:rPr>
        <w:t xml:space="preserve">planning </w:t>
      </w:r>
      <w:r w:rsidR="00C043C5" w:rsidRPr="00ED125A">
        <w:rPr>
          <w:color w:val="auto"/>
        </w:rPr>
        <w:t>period is as follows:</w:t>
      </w:r>
    </w:p>
    <w:p w14:paraId="37BAA5E3" w14:textId="77777777" w:rsidR="00CB2E55" w:rsidRPr="00ED125A" w:rsidRDefault="00CB2E55" w:rsidP="0010427B">
      <w:pPr>
        <w:pStyle w:val="Default"/>
        <w:ind w:left="567" w:right="386" w:hanging="567"/>
        <w:jc w:val="both"/>
        <w:rPr>
          <w:color w:val="auto"/>
        </w:rPr>
      </w:pPr>
    </w:p>
    <w:p w14:paraId="0E7AD8F9" w14:textId="77777777" w:rsidR="00255DB0" w:rsidRPr="00ED125A" w:rsidRDefault="00255DB0" w:rsidP="00614D4F">
      <w:pPr>
        <w:pStyle w:val="Default"/>
        <w:ind w:left="567" w:right="386"/>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616"/>
        <w:gridCol w:w="1716"/>
        <w:gridCol w:w="1494"/>
        <w:gridCol w:w="1445"/>
        <w:gridCol w:w="1386"/>
      </w:tblGrid>
      <w:tr w:rsidR="002011A1" w:rsidRPr="002C2483" w14:paraId="3F46A248" w14:textId="77777777" w:rsidTr="00FC2EC9">
        <w:tc>
          <w:tcPr>
            <w:tcW w:w="1305" w:type="dxa"/>
            <w:shd w:val="clear" w:color="auto" w:fill="D9D9D9"/>
          </w:tcPr>
          <w:p w14:paraId="19E28454" w14:textId="77777777" w:rsidR="002011A1" w:rsidRPr="008C62A9" w:rsidRDefault="002011A1" w:rsidP="001A30D1">
            <w:pPr>
              <w:rPr>
                <w:rFonts w:eastAsia="Calibri" w:cs="Arial"/>
                <w:b/>
              </w:rPr>
            </w:pPr>
          </w:p>
        </w:tc>
        <w:tc>
          <w:tcPr>
            <w:tcW w:w="8657" w:type="dxa"/>
            <w:gridSpan w:val="5"/>
            <w:shd w:val="clear" w:color="auto" w:fill="D9D9D9"/>
          </w:tcPr>
          <w:p w14:paraId="21FB4304" w14:textId="77777777" w:rsidR="002011A1" w:rsidRPr="008C62A9" w:rsidRDefault="002011A1" w:rsidP="00503657">
            <w:pPr>
              <w:rPr>
                <w:rFonts w:eastAsia="Calibri" w:cs="Arial"/>
                <w:b/>
              </w:rPr>
            </w:pPr>
            <w:r w:rsidRPr="008C62A9">
              <w:rPr>
                <w:rFonts w:eastAsia="Calibri" w:cs="Arial"/>
                <w:b/>
              </w:rPr>
              <w:t>Table 1</w:t>
            </w:r>
            <w:r w:rsidR="00503657">
              <w:rPr>
                <w:rFonts w:eastAsia="Calibri" w:cs="Arial"/>
                <w:b/>
              </w:rPr>
              <w:t>3</w:t>
            </w:r>
            <w:r w:rsidRPr="008C62A9">
              <w:rPr>
                <w:rFonts w:eastAsia="Calibri" w:cs="Arial"/>
                <w:b/>
              </w:rPr>
              <w:t xml:space="preserve"> :  Summary of HRA </w:t>
            </w:r>
            <w:r w:rsidR="008C62A9">
              <w:rPr>
                <w:rFonts w:eastAsia="Calibri" w:cs="Arial"/>
                <w:b/>
              </w:rPr>
              <w:t xml:space="preserve">Capital Programme </w:t>
            </w:r>
            <w:r w:rsidRPr="008C62A9">
              <w:rPr>
                <w:rFonts w:eastAsia="Calibri" w:cs="Arial"/>
                <w:b/>
              </w:rPr>
              <w:t xml:space="preserve">over next 4 years </w:t>
            </w:r>
          </w:p>
        </w:tc>
      </w:tr>
      <w:tr w:rsidR="002011A1" w:rsidRPr="002C2483" w14:paraId="7DC7E716" w14:textId="77777777" w:rsidTr="00FC2EC9">
        <w:tc>
          <w:tcPr>
            <w:tcW w:w="3921" w:type="dxa"/>
            <w:gridSpan w:val="2"/>
            <w:shd w:val="clear" w:color="auto" w:fill="D9D9D9"/>
          </w:tcPr>
          <w:p w14:paraId="13CC75FB" w14:textId="77777777" w:rsidR="002011A1" w:rsidRPr="008C62A9" w:rsidRDefault="002011A1" w:rsidP="000F525A">
            <w:pPr>
              <w:rPr>
                <w:rFonts w:eastAsia="Calibri" w:cs="Arial"/>
                <w:b/>
              </w:rPr>
            </w:pPr>
            <w:r w:rsidRPr="008C62A9">
              <w:rPr>
                <w:rFonts w:eastAsia="Calibri" w:cs="Arial"/>
                <w:b/>
              </w:rPr>
              <w:t>Budget</w:t>
            </w:r>
          </w:p>
        </w:tc>
        <w:tc>
          <w:tcPr>
            <w:tcW w:w="1716" w:type="dxa"/>
            <w:shd w:val="clear" w:color="auto" w:fill="D9D9D9"/>
          </w:tcPr>
          <w:p w14:paraId="25D6DF26" w14:textId="77777777" w:rsidR="002011A1" w:rsidRPr="008C62A9" w:rsidRDefault="002011A1" w:rsidP="008119A8">
            <w:pPr>
              <w:jc w:val="right"/>
              <w:rPr>
                <w:rFonts w:eastAsia="Calibri" w:cs="Arial"/>
                <w:b/>
              </w:rPr>
            </w:pPr>
            <w:r w:rsidRPr="008C62A9">
              <w:rPr>
                <w:rFonts w:eastAsia="Calibri" w:cs="Arial"/>
                <w:b/>
              </w:rPr>
              <w:t>2017/18</w:t>
            </w:r>
          </w:p>
        </w:tc>
        <w:tc>
          <w:tcPr>
            <w:tcW w:w="1494" w:type="dxa"/>
            <w:shd w:val="clear" w:color="auto" w:fill="D9D9D9"/>
          </w:tcPr>
          <w:p w14:paraId="3F3B7ACA" w14:textId="77777777" w:rsidR="002011A1" w:rsidRPr="008C62A9" w:rsidRDefault="002011A1" w:rsidP="008119A8">
            <w:pPr>
              <w:jc w:val="right"/>
              <w:rPr>
                <w:rFonts w:eastAsia="Calibri" w:cs="Arial"/>
                <w:b/>
              </w:rPr>
            </w:pPr>
            <w:r w:rsidRPr="008C62A9">
              <w:rPr>
                <w:rFonts w:eastAsia="Calibri" w:cs="Arial"/>
                <w:b/>
              </w:rPr>
              <w:t>2018/19</w:t>
            </w:r>
          </w:p>
        </w:tc>
        <w:tc>
          <w:tcPr>
            <w:tcW w:w="1445" w:type="dxa"/>
            <w:shd w:val="clear" w:color="auto" w:fill="D9D9D9"/>
          </w:tcPr>
          <w:p w14:paraId="67E263E2" w14:textId="77777777" w:rsidR="002011A1" w:rsidRPr="008C62A9" w:rsidRDefault="002011A1" w:rsidP="008119A8">
            <w:pPr>
              <w:jc w:val="right"/>
              <w:rPr>
                <w:rFonts w:eastAsia="Calibri" w:cs="Arial"/>
                <w:b/>
              </w:rPr>
            </w:pPr>
            <w:r w:rsidRPr="008C62A9">
              <w:rPr>
                <w:rFonts w:eastAsia="Calibri" w:cs="Arial"/>
                <w:b/>
              </w:rPr>
              <w:t>2019/20</w:t>
            </w:r>
          </w:p>
        </w:tc>
        <w:tc>
          <w:tcPr>
            <w:tcW w:w="1386" w:type="dxa"/>
            <w:shd w:val="clear" w:color="auto" w:fill="D9D9D9"/>
          </w:tcPr>
          <w:p w14:paraId="731EC065" w14:textId="77777777" w:rsidR="002011A1" w:rsidRPr="008C62A9" w:rsidRDefault="002011A1" w:rsidP="008119A8">
            <w:pPr>
              <w:jc w:val="right"/>
              <w:rPr>
                <w:rFonts w:eastAsia="Calibri" w:cs="Arial"/>
                <w:b/>
              </w:rPr>
            </w:pPr>
            <w:r w:rsidRPr="008C62A9">
              <w:rPr>
                <w:rFonts w:eastAsia="Calibri" w:cs="Arial"/>
                <w:b/>
              </w:rPr>
              <w:t>2020/21</w:t>
            </w:r>
          </w:p>
        </w:tc>
      </w:tr>
      <w:tr w:rsidR="002011A1" w:rsidRPr="002C2483" w14:paraId="7888B3BC" w14:textId="77777777" w:rsidTr="00FC2EC9">
        <w:tc>
          <w:tcPr>
            <w:tcW w:w="3921" w:type="dxa"/>
            <w:gridSpan w:val="2"/>
            <w:shd w:val="clear" w:color="auto" w:fill="auto"/>
          </w:tcPr>
          <w:p w14:paraId="78F935B1" w14:textId="77777777" w:rsidR="002011A1" w:rsidRPr="008C62A9" w:rsidRDefault="002011A1" w:rsidP="000F525A">
            <w:pPr>
              <w:rPr>
                <w:rFonts w:eastAsia="Calibri" w:cs="Arial"/>
              </w:rPr>
            </w:pPr>
          </w:p>
        </w:tc>
        <w:tc>
          <w:tcPr>
            <w:tcW w:w="1716" w:type="dxa"/>
            <w:shd w:val="clear" w:color="auto" w:fill="auto"/>
          </w:tcPr>
          <w:p w14:paraId="0B8DCD80" w14:textId="77777777" w:rsidR="002011A1" w:rsidRPr="008C62A9" w:rsidRDefault="002011A1" w:rsidP="008119A8">
            <w:pPr>
              <w:jc w:val="right"/>
              <w:rPr>
                <w:rFonts w:eastAsia="Calibri" w:cs="Arial"/>
                <w:b/>
              </w:rPr>
            </w:pPr>
            <w:r w:rsidRPr="008C62A9">
              <w:rPr>
                <w:rFonts w:eastAsia="Calibri" w:cs="Arial"/>
                <w:b/>
              </w:rPr>
              <w:t>£000’s</w:t>
            </w:r>
          </w:p>
        </w:tc>
        <w:tc>
          <w:tcPr>
            <w:tcW w:w="1494" w:type="dxa"/>
          </w:tcPr>
          <w:p w14:paraId="5A116743" w14:textId="77777777" w:rsidR="002011A1" w:rsidRPr="008C62A9" w:rsidRDefault="002011A1" w:rsidP="008119A8">
            <w:pPr>
              <w:jc w:val="right"/>
              <w:rPr>
                <w:rFonts w:eastAsia="Calibri" w:cs="Arial"/>
                <w:b/>
              </w:rPr>
            </w:pPr>
            <w:r w:rsidRPr="008C62A9">
              <w:rPr>
                <w:rFonts w:eastAsia="Calibri" w:cs="Arial"/>
                <w:b/>
              </w:rPr>
              <w:t>£000’s</w:t>
            </w:r>
          </w:p>
        </w:tc>
        <w:tc>
          <w:tcPr>
            <w:tcW w:w="1445" w:type="dxa"/>
            <w:shd w:val="clear" w:color="auto" w:fill="auto"/>
          </w:tcPr>
          <w:p w14:paraId="68B36548" w14:textId="77777777" w:rsidR="002011A1" w:rsidRPr="008C62A9" w:rsidRDefault="002011A1" w:rsidP="008119A8">
            <w:pPr>
              <w:jc w:val="right"/>
              <w:rPr>
                <w:rFonts w:eastAsia="Calibri" w:cs="Arial"/>
                <w:b/>
              </w:rPr>
            </w:pPr>
            <w:r w:rsidRPr="008C62A9">
              <w:rPr>
                <w:rFonts w:eastAsia="Calibri" w:cs="Arial"/>
                <w:b/>
              </w:rPr>
              <w:t>£000’s</w:t>
            </w:r>
          </w:p>
        </w:tc>
        <w:tc>
          <w:tcPr>
            <w:tcW w:w="1386" w:type="dxa"/>
            <w:shd w:val="clear" w:color="auto" w:fill="auto"/>
          </w:tcPr>
          <w:p w14:paraId="4541633B" w14:textId="77777777" w:rsidR="002011A1" w:rsidRPr="008C62A9" w:rsidRDefault="002011A1" w:rsidP="008119A8">
            <w:pPr>
              <w:jc w:val="right"/>
              <w:rPr>
                <w:rFonts w:eastAsia="Calibri" w:cs="Arial"/>
                <w:b/>
              </w:rPr>
            </w:pPr>
            <w:r w:rsidRPr="008C62A9">
              <w:rPr>
                <w:rFonts w:eastAsia="Calibri" w:cs="Arial"/>
                <w:b/>
              </w:rPr>
              <w:t>£000’s</w:t>
            </w:r>
          </w:p>
        </w:tc>
      </w:tr>
      <w:tr w:rsidR="002011A1" w:rsidRPr="002C2483" w14:paraId="444A0615" w14:textId="77777777" w:rsidTr="0081108D">
        <w:tc>
          <w:tcPr>
            <w:tcW w:w="3921" w:type="dxa"/>
            <w:gridSpan w:val="2"/>
            <w:shd w:val="clear" w:color="auto" w:fill="auto"/>
          </w:tcPr>
          <w:p w14:paraId="2F642351" w14:textId="77777777" w:rsidR="002011A1" w:rsidRPr="0081108D" w:rsidRDefault="002011A1" w:rsidP="000F525A">
            <w:pPr>
              <w:rPr>
                <w:rFonts w:eastAsia="Calibri" w:cs="Arial"/>
              </w:rPr>
            </w:pPr>
            <w:r w:rsidRPr="0081108D">
              <w:rPr>
                <w:rFonts w:eastAsia="Calibri" w:cs="Arial"/>
              </w:rPr>
              <w:t>Tower Blocks</w:t>
            </w:r>
          </w:p>
        </w:tc>
        <w:tc>
          <w:tcPr>
            <w:tcW w:w="1716" w:type="dxa"/>
            <w:shd w:val="clear" w:color="auto" w:fill="auto"/>
          </w:tcPr>
          <w:p w14:paraId="2FABA32F" w14:textId="77777777" w:rsidR="002011A1" w:rsidRPr="008C62A9" w:rsidRDefault="008C62A9" w:rsidP="008119A8">
            <w:pPr>
              <w:jc w:val="right"/>
              <w:rPr>
                <w:rFonts w:eastAsia="Calibri" w:cs="Arial"/>
              </w:rPr>
            </w:pPr>
            <w:r w:rsidRPr="008C62A9">
              <w:rPr>
                <w:rFonts w:eastAsia="Calibri" w:cs="Arial"/>
              </w:rPr>
              <w:t>6,959</w:t>
            </w:r>
          </w:p>
        </w:tc>
        <w:tc>
          <w:tcPr>
            <w:tcW w:w="1494" w:type="dxa"/>
          </w:tcPr>
          <w:p w14:paraId="66A003DC" w14:textId="77777777" w:rsidR="002011A1" w:rsidRPr="008C62A9" w:rsidRDefault="008C62A9" w:rsidP="008119A8">
            <w:pPr>
              <w:jc w:val="right"/>
              <w:rPr>
                <w:rFonts w:eastAsia="Calibri" w:cs="Arial"/>
              </w:rPr>
            </w:pPr>
            <w:r w:rsidRPr="008C62A9">
              <w:rPr>
                <w:rFonts w:eastAsia="Calibri" w:cs="Arial"/>
              </w:rPr>
              <w:t>134</w:t>
            </w:r>
          </w:p>
        </w:tc>
        <w:tc>
          <w:tcPr>
            <w:tcW w:w="1445" w:type="dxa"/>
            <w:shd w:val="clear" w:color="auto" w:fill="auto"/>
          </w:tcPr>
          <w:p w14:paraId="23C0FB32" w14:textId="77777777" w:rsidR="002011A1" w:rsidRPr="008C62A9" w:rsidRDefault="008C62A9" w:rsidP="008119A8">
            <w:pPr>
              <w:jc w:val="right"/>
              <w:rPr>
                <w:rFonts w:eastAsia="Calibri" w:cs="Arial"/>
              </w:rPr>
            </w:pPr>
            <w:r w:rsidRPr="008C62A9">
              <w:rPr>
                <w:rFonts w:eastAsia="Calibri" w:cs="Arial"/>
              </w:rPr>
              <w:t>-</w:t>
            </w:r>
          </w:p>
        </w:tc>
        <w:tc>
          <w:tcPr>
            <w:tcW w:w="1386" w:type="dxa"/>
            <w:shd w:val="clear" w:color="auto" w:fill="auto"/>
          </w:tcPr>
          <w:p w14:paraId="3D7172B3" w14:textId="77777777" w:rsidR="002011A1" w:rsidRPr="008C62A9" w:rsidRDefault="008C62A9" w:rsidP="008119A8">
            <w:pPr>
              <w:jc w:val="right"/>
              <w:rPr>
                <w:rFonts w:eastAsia="Calibri" w:cs="Arial"/>
              </w:rPr>
            </w:pPr>
            <w:r w:rsidRPr="008C62A9">
              <w:rPr>
                <w:rFonts w:eastAsia="Calibri" w:cs="Arial"/>
              </w:rPr>
              <w:t>-</w:t>
            </w:r>
          </w:p>
        </w:tc>
      </w:tr>
      <w:tr w:rsidR="002011A1" w:rsidRPr="002C2483" w14:paraId="20D46146" w14:textId="77777777" w:rsidTr="0081108D">
        <w:tc>
          <w:tcPr>
            <w:tcW w:w="3921" w:type="dxa"/>
            <w:gridSpan w:val="2"/>
            <w:shd w:val="clear" w:color="auto" w:fill="auto"/>
          </w:tcPr>
          <w:p w14:paraId="66D8314A" w14:textId="77777777" w:rsidR="002011A1" w:rsidRPr="0081108D" w:rsidRDefault="008C62A9" w:rsidP="000F525A">
            <w:pPr>
              <w:rPr>
                <w:rFonts w:eastAsia="Calibri" w:cs="Arial"/>
              </w:rPr>
            </w:pPr>
            <w:r w:rsidRPr="0081108D">
              <w:rPr>
                <w:rFonts w:eastAsia="Calibri" w:cs="Arial"/>
              </w:rPr>
              <w:t>Planned Major Repairs</w:t>
            </w:r>
          </w:p>
        </w:tc>
        <w:tc>
          <w:tcPr>
            <w:tcW w:w="1716" w:type="dxa"/>
            <w:shd w:val="clear" w:color="auto" w:fill="auto"/>
          </w:tcPr>
          <w:p w14:paraId="0EE7BFAC" w14:textId="77777777" w:rsidR="002011A1" w:rsidRPr="008C62A9" w:rsidRDefault="008C62A9" w:rsidP="008119A8">
            <w:pPr>
              <w:jc w:val="right"/>
              <w:rPr>
                <w:rFonts w:eastAsia="Calibri" w:cs="Arial"/>
              </w:rPr>
            </w:pPr>
            <w:r w:rsidRPr="008C62A9">
              <w:rPr>
                <w:rFonts w:eastAsia="Calibri" w:cs="Arial"/>
              </w:rPr>
              <w:t>602</w:t>
            </w:r>
          </w:p>
        </w:tc>
        <w:tc>
          <w:tcPr>
            <w:tcW w:w="1494" w:type="dxa"/>
          </w:tcPr>
          <w:p w14:paraId="6BB0F084" w14:textId="77777777" w:rsidR="002011A1" w:rsidRPr="008C62A9" w:rsidRDefault="008C62A9" w:rsidP="008119A8">
            <w:pPr>
              <w:jc w:val="right"/>
              <w:rPr>
                <w:rFonts w:eastAsia="Calibri" w:cs="Arial"/>
              </w:rPr>
            </w:pPr>
            <w:r w:rsidRPr="008C62A9">
              <w:rPr>
                <w:rFonts w:eastAsia="Calibri" w:cs="Arial"/>
              </w:rPr>
              <w:t>617</w:t>
            </w:r>
          </w:p>
        </w:tc>
        <w:tc>
          <w:tcPr>
            <w:tcW w:w="1445" w:type="dxa"/>
            <w:shd w:val="clear" w:color="auto" w:fill="auto"/>
          </w:tcPr>
          <w:p w14:paraId="7E07D948" w14:textId="77777777" w:rsidR="002011A1" w:rsidRPr="008C62A9" w:rsidRDefault="008C62A9" w:rsidP="008119A8">
            <w:pPr>
              <w:jc w:val="right"/>
              <w:rPr>
                <w:rFonts w:eastAsia="Calibri" w:cs="Arial"/>
              </w:rPr>
            </w:pPr>
            <w:r w:rsidRPr="008C62A9">
              <w:rPr>
                <w:rFonts w:eastAsia="Calibri" w:cs="Arial"/>
              </w:rPr>
              <w:t>633</w:t>
            </w:r>
          </w:p>
        </w:tc>
        <w:tc>
          <w:tcPr>
            <w:tcW w:w="1386" w:type="dxa"/>
            <w:shd w:val="clear" w:color="auto" w:fill="auto"/>
          </w:tcPr>
          <w:p w14:paraId="0E279D90" w14:textId="77777777" w:rsidR="002011A1" w:rsidRPr="008C62A9" w:rsidRDefault="008C62A9" w:rsidP="008119A8">
            <w:pPr>
              <w:jc w:val="right"/>
              <w:rPr>
                <w:rFonts w:eastAsia="Calibri" w:cs="Arial"/>
              </w:rPr>
            </w:pPr>
            <w:r w:rsidRPr="008C62A9">
              <w:rPr>
                <w:rFonts w:eastAsia="Calibri" w:cs="Arial"/>
              </w:rPr>
              <w:t>648</w:t>
            </w:r>
          </w:p>
        </w:tc>
      </w:tr>
      <w:tr w:rsidR="002011A1" w:rsidRPr="002C2483" w14:paraId="18FA2E1B" w14:textId="77777777" w:rsidTr="0081108D">
        <w:tc>
          <w:tcPr>
            <w:tcW w:w="3921" w:type="dxa"/>
            <w:gridSpan w:val="2"/>
            <w:shd w:val="clear" w:color="auto" w:fill="auto"/>
          </w:tcPr>
          <w:p w14:paraId="0EA48A9B" w14:textId="77777777" w:rsidR="002011A1" w:rsidRPr="0081108D" w:rsidRDefault="008C62A9" w:rsidP="008C62A9">
            <w:pPr>
              <w:rPr>
                <w:rFonts w:eastAsia="Calibri" w:cs="Arial"/>
              </w:rPr>
            </w:pPr>
            <w:r w:rsidRPr="0081108D">
              <w:rPr>
                <w:rFonts w:eastAsia="Calibri" w:cs="Arial"/>
              </w:rPr>
              <w:t xml:space="preserve">Improvements </w:t>
            </w:r>
          </w:p>
        </w:tc>
        <w:tc>
          <w:tcPr>
            <w:tcW w:w="1716" w:type="dxa"/>
            <w:shd w:val="clear" w:color="auto" w:fill="auto"/>
          </w:tcPr>
          <w:p w14:paraId="59661D6C" w14:textId="71B2EC73" w:rsidR="002011A1" w:rsidRPr="008C62A9" w:rsidRDefault="004355F5" w:rsidP="004355F5">
            <w:pPr>
              <w:jc w:val="right"/>
              <w:rPr>
                <w:rFonts w:eastAsia="Calibri" w:cs="Arial"/>
              </w:rPr>
            </w:pPr>
            <w:r>
              <w:rPr>
                <w:rFonts w:eastAsia="Calibri" w:cs="Arial"/>
              </w:rPr>
              <w:t>903</w:t>
            </w:r>
          </w:p>
        </w:tc>
        <w:tc>
          <w:tcPr>
            <w:tcW w:w="1494" w:type="dxa"/>
          </w:tcPr>
          <w:p w14:paraId="3D838C28" w14:textId="77777777" w:rsidR="002011A1" w:rsidRPr="008C62A9" w:rsidRDefault="00FC2EC9" w:rsidP="008119A8">
            <w:pPr>
              <w:jc w:val="right"/>
              <w:rPr>
                <w:rFonts w:eastAsia="Calibri" w:cs="Arial"/>
              </w:rPr>
            </w:pPr>
            <w:r>
              <w:rPr>
                <w:rFonts w:eastAsia="Calibri" w:cs="Arial"/>
              </w:rPr>
              <w:t>773</w:t>
            </w:r>
          </w:p>
        </w:tc>
        <w:tc>
          <w:tcPr>
            <w:tcW w:w="1445" w:type="dxa"/>
            <w:shd w:val="clear" w:color="auto" w:fill="auto"/>
          </w:tcPr>
          <w:p w14:paraId="7AA49ECA" w14:textId="77777777" w:rsidR="002011A1" w:rsidRPr="008C62A9" w:rsidRDefault="00FC2EC9" w:rsidP="00FC2EC9">
            <w:pPr>
              <w:jc w:val="right"/>
              <w:rPr>
                <w:rFonts w:eastAsia="Calibri" w:cs="Arial"/>
              </w:rPr>
            </w:pPr>
            <w:r>
              <w:rPr>
                <w:rFonts w:eastAsia="Calibri" w:cs="Arial"/>
              </w:rPr>
              <w:t>784</w:t>
            </w:r>
          </w:p>
        </w:tc>
        <w:tc>
          <w:tcPr>
            <w:tcW w:w="1386" w:type="dxa"/>
            <w:shd w:val="clear" w:color="auto" w:fill="auto"/>
          </w:tcPr>
          <w:p w14:paraId="186C976F" w14:textId="77777777" w:rsidR="002011A1" w:rsidRPr="008C62A9" w:rsidRDefault="00FC2EC9" w:rsidP="00FC2EC9">
            <w:pPr>
              <w:jc w:val="right"/>
              <w:rPr>
                <w:rFonts w:eastAsia="Calibri" w:cs="Arial"/>
              </w:rPr>
            </w:pPr>
            <w:r>
              <w:rPr>
                <w:rFonts w:eastAsia="Calibri" w:cs="Arial"/>
              </w:rPr>
              <w:t>795</w:t>
            </w:r>
          </w:p>
        </w:tc>
      </w:tr>
      <w:tr w:rsidR="002011A1" w:rsidRPr="002C2483" w14:paraId="4B7E56DB" w14:textId="77777777" w:rsidTr="0081108D">
        <w:tc>
          <w:tcPr>
            <w:tcW w:w="3921" w:type="dxa"/>
            <w:gridSpan w:val="2"/>
            <w:shd w:val="clear" w:color="auto" w:fill="auto"/>
          </w:tcPr>
          <w:p w14:paraId="50C77ECD" w14:textId="77777777" w:rsidR="002011A1" w:rsidRPr="0081108D" w:rsidRDefault="008C62A9" w:rsidP="000F525A">
            <w:pPr>
              <w:rPr>
                <w:rFonts w:eastAsia="Calibri" w:cs="Arial"/>
              </w:rPr>
            </w:pPr>
            <w:r w:rsidRPr="0081108D">
              <w:rPr>
                <w:rFonts w:eastAsia="Calibri" w:cs="Arial"/>
              </w:rPr>
              <w:t>Regulatory</w:t>
            </w:r>
          </w:p>
        </w:tc>
        <w:tc>
          <w:tcPr>
            <w:tcW w:w="1716" w:type="dxa"/>
            <w:shd w:val="clear" w:color="auto" w:fill="auto"/>
          </w:tcPr>
          <w:p w14:paraId="105852C5" w14:textId="77777777" w:rsidR="002011A1" w:rsidRPr="008C62A9" w:rsidRDefault="00FC2EC9" w:rsidP="008119A8">
            <w:pPr>
              <w:jc w:val="right"/>
              <w:rPr>
                <w:rFonts w:eastAsia="Calibri" w:cs="Arial"/>
              </w:rPr>
            </w:pPr>
            <w:r>
              <w:rPr>
                <w:rFonts w:eastAsia="Calibri" w:cs="Arial"/>
              </w:rPr>
              <w:t>5,061</w:t>
            </w:r>
          </w:p>
        </w:tc>
        <w:tc>
          <w:tcPr>
            <w:tcW w:w="1494" w:type="dxa"/>
          </w:tcPr>
          <w:p w14:paraId="276C104E" w14:textId="77777777" w:rsidR="002011A1" w:rsidRPr="008C62A9" w:rsidRDefault="00FC2EC9" w:rsidP="00FC2EC9">
            <w:pPr>
              <w:tabs>
                <w:tab w:val="left" w:pos="1050"/>
              </w:tabs>
              <w:jc w:val="right"/>
              <w:rPr>
                <w:rFonts w:eastAsia="Calibri" w:cs="Arial"/>
              </w:rPr>
            </w:pPr>
            <w:r>
              <w:rPr>
                <w:rFonts w:eastAsia="Calibri" w:cs="Arial"/>
              </w:rPr>
              <w:t>5,203</w:t>
            </w:r>
          </w:p>
        </w:tc>
        <w:tc>
          <w:tcPr>
            <w:tcW w:w="1445" w:type="dxa"/>
            <w:shd w:val="clear" w:color="auto" w:fill="auto"/>
          </w:tcPr>
          <w:p w14:paraId="77BA57C6" w14:textId="77777777" w:rsidR="002011A1" w:rsidRPr="008C62A9" w:rsidRDefault="00FC2EC9" w:rsidP="008119A8">
            <w:pPr>
              <w:jc w:val="right"/>
              <w:rPr>
                <w:rFonts w:eastAsia="Calibri" w:cs="Arial"/>
              </w:rPr>
            </w:pPr>
            <w:r>
              <w:rPr>
                <w:rFonts w:eastAsia="Calibri" w:cs="Arial"/>
              </w:rPr>
              <w:t>5,344</w:t>
            </w:r>
          </w:p>
        </w:tc>
        <w:tc>
          <w:tcPr>
            <w:tcW w:w="1386" w:type="dxa"/>
            <w:shd w:val="clear" w:color="auto" w:fill="auto"/>
          </w:tcPr>
          <w:p w14:paraId="42C64628" w14:textId="77777777" w:rsidR="002011A1" w:rsidRPr="008C62A9" w:rsidRDefault="00FC2EC9" w:rsidP="008119A8">
            <w:pPr>
              <w:jc w:val="right"/>
              <w:rPr>
                <w:rFonts w:eastAsia="Calibri" w:cs="Arial"/>
              </w:rPr>
            </w:pPr>
            <w:r>
              <w:rPr>
                <w:rFonts w:eastAsia="Calibri" w:cs="Arial"/>
              </w:rPr>
              <w:t>5,479</w:t>
            </w:r>
          </w:p>
        </w:tc>
      </w:tr>
      <w:tr w:rsidR="002011A1" w:rsidRPr="002C2483" w14:paraId="2D853981" w14:textId="77777777" w:rsidTr="0081108D">
        <w:tc>
          <w:tcPr>
            <w:tcW w:w="3921" w:type="dxa"/>
            <w:gridSpan w:val="2"/>
            <w:shd w:val="clear" w:color="auto" w:fill="auto"/>
          </w:tcPr>
          <w:p w14:paraId="48D6DFBB" w14:textId="77777777" w:rsidR="002011A1" w:rsidRPr="0081108D" w:rsidRDefault="008C62A9" w:rsidP="000F525A">
            <w:pPr>
              <w:rPr>
                <w:rFonts w:eastAsia="Calibri" w:cs="Arial"/>
              </w:rPr>
            </w:pPr>
            <w:r w:rsidRPr="0081108D">
              <w:rPr>
                <w:rFonts w:eastAsia="Calibri" w:cs="Arial"/>
              </w:rPr>
              <w:t>Regen</w:t>
            </w:r>
            <w:r w:rsidR="002011A1" w:rsidRPr="0081108D">
              <w:rPr>
                <w:rFonts w:eastAsia="Calibri" w:cs="Arial"/>
              </w:rPr>
              <w:t>eration</w:t>
            </w:r>
          </w:p>
        </w:tc>
        <w:tc>
          <w:tcPr>
            <w:tcW w:w="1716" w:type="dxa"/>
            <w:shd w:val="clear" w:color="auto" w:fill="auto"/>
          </w:tcPr>
          <w:p w14:paraId="7651F068" w14:textId="25CCECEE" w:rsidR="002011A1" w:rsidRPr="008C62A9" w:rsidRDefault="004355F5" w:rsidP="00FC2EC9">
            <w:pPr>
              <w:jc w:val="right"/>
              <w:rPr>
                <w:rFonts w:eastAsia="Calibri" w:cs="Arial"/>
              </w:rPr>
            </w:pPr>
            <w:r>
              <w:rPr>
                <w:rFonts w:eastAsia="Calibri" w:cs="Arial"/>
              </w:rPr>
              <w:t>5,700</w:t>
            </w:r>
          </w:p>
        </w:tc>
        <w:tc>
          <w:tcPr>
            <w:tcW w:w="1494" w:type="dxa"/>
          </w:tcPr>
          <w:p w14:paraId="4080C011" w14:textId="77777777" w:rsidR="002011A1" w:rsidRPr="008C62A9" w:rsidRDefault="00FC2EC9" w:rsidP="00FC2EC9">
            <w:pPr>
              <w:jc w:val="right"/>
              <w:rPr>
                <w:rFonts w:eastAsia="Calibri" w:cs="Arial"/>
              </w:rPr>
            </w:pPr>
            <w:r>
              <w:rPr>
                <w:rFonts w:eastAsia="Calibri" w:cs="Arial"/>
              </w:rPr>
              <w:t>2,736</w:t>
            </w:r>
          </w:p>
        </w:tc>
        <w:tc>
          <w:tcPr>
            <w:tcW w:w="1445" w:type="dxa"/>
            <w:shd w:val="clear" w:color="auto" w:fill="auto"/>
          </w:tcPr>
          <w:p w14:paraId="26551070" w14:textId="77777777" w:rsidR="002011A1" w:rsidRPr="008C62A9" w:rsidRDefault="00FC2EC9" w:rsidP="00FC2EC9">
            <w:pPr>
              <w:jc w:val="right"/>
              <w:rPr>
                <w:rFonts w:eastAsia="Calibri" w:cs="Arial"/>
              </w:rPr>
            </w:pPr>
            <w:r>
              <w:rPr>
                <w:rFonts w:eastAsia="Calibri" w:cs="Arial"/>
              </w:rPr>
              <w:t>2,773</w:t>
            </w:r>
          </w:p>
        </w:tc>
        <w:tc>
          <w:tcPr>
            <w:tcW w:w="1386" w:type="dxa"/>
            <w:shd w:val="clear" w:color="auto" w:fill="auto"/>
          </w:tcPr>
          <w:p w14:paraId="28645E5F" w14:textId="77777777" w:rsidR="002011A1" w:rsidRPr="008C62A9" w:rsidRDefault="00FC2EC9" w:rsidP="00FC2EC9">
            <w:pPr>
              <w:jc w:val="right"/>
              <w:rPr>
                <w:rFonts w:eastAsia="Calibri" w:cs="Arial"/>
              </w:rPr>
            </w:pPr>
            <w:r>
              <w:rPr>
                <w:rFonts w:eastAsia="Calibri" w:cs="Arial"/>
              </w:rPr>
              <w:t>1,706</w:t>
            </w:r>
          </w:p>
        </w:tc>
      </w:tr>
      <w:tr w:rsidR="002011A1" w:rsidRPr="002C2483" w14:paraId="2FD8D75F" w14:textId="77777777" w:rsidTr="0081108D">
        <w:tc>
          <w:tcPr>
            <w:tcW w:w="3921" w:type="dxa"/>
            <w:gridSpan w:val="2"/>
            <w:shd w:val="clear" w:color="auto" w:fill="auto"/>
          </w:tcPr>
          <w:p w14:paraId="6AFBDF47" w14:textId="77777777" w:rsidR="002011A1" w:rsidRPr="0081108D" w:rsidRDefault="002011A1" w:rsidP="000F525A">
            <w:pPr>
              <w:rPr>
                <w:rFonts w:eastAsia="Calibri" w:cs="Arial"/>
              </w:rPr>
            </w:pPr>
            <w:r w:rsidRPr="0081108D">
              <w:rPr>
                <w:rFonts w:eastAsia="Calibri" w:cs="Arial"/>
              </w:rPr>
              <w:t xml:space="preserve">Other </w:t>
            </w:r>
          </w:p>
        </w:tc>
        <w:tc>
          <w:tcPr>
            <w:tcW w:w="1716" w:type="dxa"/>
            <w:shd w:val="clear" w:color="auto" w:fill="auto"/>
          </w:tcPr>
          <w:p w14:paraId="5BB1A9B1" w14:textId="77777777" w:rsidR="002011A1" w:rsidRPr="008C62A9" w:rsidRDefault="00FC2EC9" w:rsidP="008119A8">
            <w:pPr>
              <w:jc w:val="right"/>
              <w:rPr>
                <w:rFonts w:eastAsia="Calibri" w:cs="Arial"/>
              </w:rPr>
            </w:pPr>
            <w:r>
              <w:rPr>
                <w:rFonts w:eastAsia="Calibri" w:cs="Arial"/>
              </w:rPr>
              <w:t>675</w:t>
            </w:r>
          </w:p>
        </w:tc>
        <w:tc>
          <w:tcPr>
            <w:tcW w:w="1494" w:type="dxa"/>
          </w:tcPr>
          <w:p w14:paraId="49C7D1BA" w14:textId="77777777" w:rsidR="002011A1" w:rsidRPr="008C62A9" w:rsidRDefault="00FC2EC9" w:rsidP="008119A8">
            <w:pPr>
              <w:jc w:val="right"/>
              <w:rPr>
                <w:rFonts w:eastAsia="Calibri" w:cs="Arial"/>
              </w:rPr>
            </w:pPr>
            <w:r>
              <w:rPr>
                <w:rFonts w:eastAsia="Calibri" w:cs="Arial"/>
              </w:rPr>
              <w:t>692</w:t>
            </w:r>
          </w:p>
        </w:tc>
        <w:tc>
          <w:tcPr>
            <w:tcW w:w="1445" w:type="dxa"/>
            <w:shd w:val="clear" w:color="auto" w:fill="auto"/>
          </w:tcPr>
          <w:p w14:paraId="11C5B207" w14:textId="77777777" w:rsidR="002011A1" w:rsidRPr="008C62A9" w:rsidRDefault="00FC2EC9" w:rsidP="008119A8">
            <w:pPr>
              <w:jc w:val="right"/>
              <w:rPr>
                <w:rFonts w:eastAsia="Calibri" w:cs="Arial"/>
              </w:rPr>
            </w:pPr>
            <w:r>
              <w:rPr>
                <w:rFonts w:eastAsia="Calibri" w:cs="Arial"/>
              </w:rPr>
              <w:t>709</w:t>
            </w:r>
          </w:p>
        </w:tc>
        <w:tc>
          <w:tcPr>
            <w:tcW w:w="1386" w:type="dxa"/>
            <w:shd w:val="clear" w:color="auto" w:fill="auto"/>
          </w:tcPr>
          <w:p w14:paraId="684B67C5" w14:textId="77777777" w:rsidR="002011A1" w:rsidRPr="008C62A9" w:rsidRDefault="00FC2EC9" w:rsidP="008119A8">
            <w:pPr>
              <w:jc w:val="right"/>
              <w:rPr>
                <w:rFonts w:eastAsia="Calibri" w:cs="Arial"/>
              </w:rPr>
            </w:pPr>
            <w:r>
              <w:rPr>
                <w:rFonts w:eastAsia="Calibri" w:cs="Arial"/>
              </w:rPr>
              <w:t>727</w:t>
            </w:r>
          </w:p>
        </w:tc>
      </w:tr>
      <w:tr w:rsidR="002011A1" w:rsidRPr="002C2483" w14:paraId="31812720" w14:textId="77777777" w:rsidTr="0081108D">
        <w:tc>
          <w:tcPr>
            <w:tcW w:w="3921" w:type="dxa"/>
            <w:gridSpan w:val="2"/>
            <w:shd w:val="clear" w:color="auto" w:fill="auto"/>
          </w:tcPr>
          <w:p w14:paraId="2CCB1315" w14:textId="77777777" w:rsidR="002011A1" w:rsidRPr="0081108D" w:rsidRDefault="002011A1" w:rsidP="000F525A">
            <w:pPr>
              <w:rPr>
                <w:rFonts w:eastAsia="Calibri" w:cs="Arial"/>
              </w:rPr>
            </w:pPr>
            <w:r w:rsidRPr="0081108D">
              <w:rPr>
                <w:rFonts w:eastAsia="Calibri" w:cs="Arial"/>
              </w:rPr>
              <w:t>Contingency for HVCH</w:t>
            </w:r>
          </w:p>
        </w:tc>
        <w:tc>
          <w:tcPr>
            <w:tcW w:w="1716" w:type="dxa"/>
            <w:shd w:val="clear" w:color="auto" w:fill="auto"/>
          </w:tcPr>
          <w:p w14:paraId="05A7CF9E" w14:textId="58660E60" w:rsidR="002011A1" w:rsidRPr="008C62A9" w:rsidRDefault="002977AD" w:rsidP="008119A8">
            <w:pPr>
              <w:jc w:val="right"/>
              <w:rPr>
                <w:rFonts w:eastAsia="Calibri" w:cs="Arial"/>
              </w:rPr>
            </w:pPr>
            <w:r>
              <w:rPr>
                <w:rFonts w:eastAsia="Calibri" w:cs="Arial"/>
              </w:rPr>
              <w:t>-</w:t>
            </w:r>
          </w:p>
        </w:tc>
        <w:tc>
          <w:tcPr>
            <w:tcW w:w="1494" w:type="dxa"/>
          </w:tcPr>
          <w:p w14:paraId="11D4A2B7" w14:textId="77777777" w:rsidR="002011A1" w:rsidRPr="008C62A9" w:rsidRDefault="008C62A9" w:rsidP="00434261">
            <w:pPr>
              <w:jc w:val="right"/>
              <w:rPr>
                <w:rFonts w:eastAsia="Calibri" w:cs="Arial"/>
              </w:rPr>
            </w:pPr>
            <w:r w:rsidRPr="008C62A9">
              <w:rPr>
                <w:rFonts w:eastAsia="Calibri" w:cs="Arial"/>
              </w:rPr>
              <w:t>7,703</w:t>
            </w:r>
          </w:p>
        </w:tc>
        <w:tc>
          <w:tcPr>
            <w:tcW w:w="1445" w:type="dxa"/>
            <w:shd w:val="clear" w:color="auto" w:fill="auto"/>
          </w:tcPr>
          <w:p w14:paraId="2572F071" w14:textId="77777777" w:rsidR="002011A1" w:rsidRPr="008C62A9" w:rsidRDefault="008C62A9" w:rsidP="00434261">
            <w:pPr>
              <w:jc w:val="right"/>
              <w:rPr>
                <w:rFonts w:eastAsia="Calibri" w:cs="Arial"/>
              </w:rPr>
            </w:pPr>
            <w:r w:rsidRPr="008C62A9">
              <w:rPr>
                <w:rFonts w:eastAsia="Calibri" w:cs="Arial"/>
              </w:rPr>
              <w:t>7,703</w:t>
            </w:r>
          </w:p>
        </w:tc>
        <w:tc>
          <w:tcPr>
            <w:tcW w:w="1386" w:type="dxa"/>
            <w:shd w:val="clear" w:color="auto" w:fill="auto"/>
          </w:tcPr>
          <w:p w14:paraId="457EEE1A" w14:textId="77777777" w:rsidR="002011A1" w:rsidRPr="008C62A9" w:rsidRDefault="008C62A9" w:rsidP="00434261">
            <w:pPr>
              <w:jc w:val="right"/>
              <w:rPr>
                <w:rFonts w:eastAsia="Calibri" w:cs="Arial"/>
              </w:rPr>
            </w:pPr>
            <w:r w:rsidRPr="008C62A9">
              <w:rPr>
                <w:rFonts w:eastAsia="Calibri" w:cs="Arial"/>
              </w:rPr>
              <w:t>7,703</w:t>
            </w:r>
          </w:p>
        </w:tc>
      </w:tr>
      <w:tr w:rsidR="002011A1" w:rsidRPr="002C2483" w14:paraId="7957AF2E" w14:textId="77777777" w:rsidTr="0081108D">
        <w:tc>
          <w:tcPr>
            <w:tcW w:w="3921" w:type="dxa"/>
            <w:gridSpan w:val="2"/>
            <w:shd w:val="clear" w:color="auto" w:fill="auto"/>
          </w:tcPr>
          <w:p w14:paraId="42C6BBA2" w14:textId="77777777" w:rsidR="002011A1" w:rsidRPr="0081108D" w:rsidRDefault="002011A1" w:rsidP="000F525A">
            <w:pPr>
              <w:rPr>
                <w:rFonts w:eastAsia="Calibri" w:cs="Arial"/>
              </w:rPr>
            </w:pPr>
          </w:p>
        </w:tc>
        <w:tc>
          <w:tcPr>
            <w:tcW w:w="1716" w:type="dxa"/>
            <w:shd w:val="clear" w:color="auto" w:fill="auto"/>
          </w:tcPr>
          <w:p w14:paraId="5D191ADA" w14:textId="7C2FD542" w:rsidR="002011A1" w:rsidRPr="008C62A9" w:rsidRDefault="004355F5" w:rsidP="008119A8">
            <w:pPr>
              <w:jc w:val="right"/>
              <w:rPr>
                <w:rFonts w:eastAsia="Calibri" w:cs="Arial"/>
                <w:b/>
              </w:rPr>
            </w:pPr>
            <w:r>
              <w:rPr>
                <w:rFonts w:eastAsia="Calibri" w:cs="Arial"/>
                <w:b/>
              </w:rPr>
              <w:t>19,900</w:t>
            </w:r>
          </w:p>
        </w:tc>
        <w:tc>
          <w:tcPr>
            <w:tcW w:w="1494" w:type="dxa"/>
          </w:tcPr>
          <w:p w14:paraId="272817B4" w14:textId="77777777" w:rsidR="002011A1" w:rsidRPr="008C62A9" w:rsidRDefault="00FC2EC9" w:rsidP="001439EB">
            <w:pPr>
              <w:jc w:val="right"/>
              <w:rPr>
                <w:rFonts w:eastAsia="Calibri" w:cs="Arial"/>
                <w:b/>
              </w:rPr>
            </w:pPr>
            <w:r>
              <w:rPr>
                <w:rFonts w:eastAsia="Calibri" w:cs="Arial"/>
                <w:b/>
              </w:rPr>
              <w:t>17,858</w:t>
            </w:r>
          </w:p>
        </w:tc>
        <w:tc>
          <w:tcPr>
            <w:tcW w:w="1445" w:type="dxa"/>
            <w:shd w:val="clear" w:color="auto" w:fill="auto"/>
          </w:tcPr>
          <w:p w14:paraId="48222D8E" w14:textId="77777777" w:rsidR="002011A1" w:rsidRPr="008C62A9" w:rsidRDefault="00FC2EC9" w:rsidP="001439EB">
            <w:pPr>
              <w:jc w:val="right"/>
              <w:rPr>
                <w:rFonts w:eastAsia="Calibri" w:cs="Arial"/>
                <w:b/>
              </w:rPr>
            </w:pPr>
            <w:r>
              <w:rPr>
                <w:rFonts w:eastAsia="Calibri" w:cs="Arial"/>
                <w:b/>
              </w:rPr>
              <w:t>17,946</w:t>
            </w:r>
          </w:p>
        </w:tc>
        <w:tc>
          <w:tcPr>
            <w:tcW w:w="1386" w:type="dxa"/>
            <w:shd w:val="clear" w:color="auto" w:fill="auto"/>
          </w:tcPr>
          <w:p w14:paraId="623A8045" w14:textId="77777777" w:rsidR="002011A1" w:rsidRPr="008C62A9" w:rsidRDefault="00FC2EC9" w:rsidP="001439EB">
            <w:pPr>
              <w:jc w:val="right"/>
              <w:rPr>
                <w:rFonts w:eastAsia="Calibri" w:cs="Arial"/>
                <w:b/>
              </w:rPr>
            </w:pPr>
            <w:r>
              <w:rPr>
                <w:rFonts w:eastAsia="Calibri" w:cs="Arial"/>
                <w:b/>
              </w:rPr>
              <w:t>17,058</w:t>
            </w:r>
          </w:p>
        </w:tc>
      </w:tr>
    </w:tbl>
    <w:p w14:paraId="33E868EE" w14:textId="77777777" w:rsidR="00255DB0" w:rsidRPr="002C2483" w:rsidRDefault="00255DB0" w:rsidP="001E14DA">
      <w:pPr>
        <w:ind w:left="567" w:hanging="567"/>
        <w:rPr>
          <w:rFonts w:eastAsia="Calibri" w:cs="Arial"/>
          <w:highlight w:val="yellow"/>
        </w:rPr>
      </w:pPr>
    </w:p>
    <w:p w14:paraId="760E379E" w14:textId="3B359EFD" w:rsidR="001E14DA" w:rsidRPr="008C62A9" w:rsidRDefault="00496A88" w:rsidP="001E14DA">
      <w:pPr>
        <w:ind w:left="567" w:hanging="567"/>
        <w:rPr>
          <w:rFonts w:eastAsia="Calibri" w:cs="Arial"/>
        </w:rPr>
      </w:pPr>
      <w:r>
        <w:rPr>
          <w:rFonts w:eastAsia="Calibri" w:cs="Arial"/>
        </w:rPr>
        <w:t>5</w:t>
      </w:r>
      <w:r w:rsidR="00BD0932">
        <w:rPr>
          <w:rFonts w:eastAsia="Calibri" w:cs="Arial"/>
        </w:rPr>
        <w:t>3</w:t>
      </w:r>
      <w:r w:rsidR="001E14DA" w:rsidRPr="008C62A9">
        <w:rPr>
          <w:rFonts w:eastAsia="Calibri" w:cs="Arial"/>
        </w:rPr>
        <w:tab/>
        <w:t xml:space="preserve">The </w:t>
      </w:r>
      <w:r w:rsidR="004312DC" w:rsidRPr="008C62A9">
        <w:rPr>
          <w:rFonts w:eastAsia="Calibri" w:cs="Arial"/>
        </w:rPr>
        <w:t xml:space="preserve">revised </w:t>
      </w:r>
      <w:r w:rsidR="001E14DA" w:rsidRPr="008C62A9">
        <w:rPr>
          <w:rFonts w:eastAsia="Calibri" w:cs="Arial"/>
        </w:rPr>
        <w:t>programme of £</w:t>
      </w:r>
      <w:r w:rsidR="008C62A9" w:rsidRPr="008C62A9">
        <w:rPr>
          <w:rFonts w:eastAsia="Calibri" w:cs="Arial"/>
        </w:rPr>
        <w:t>7</w:t>
      </w:r>
      <w:r w:rsidR="00692486">
        <w:rPr>
          <w:rFonts w:eastAsia="Calibri" w:cs="Arial"/>
        </w:rPr>
        <w:t>3</w:t>
      </w:r>
      <w:r w:rsidR="001E14DA" w:rsidRPr="008C62A9">
        <w:rPr>
          <w:rFonts w:eastAsia="Calibri" w:cs="Arial"/>
        </w:rPr>
        <w:t xml:space="preserve"> million over the next </w:t>
      </w:r>
      <w:r w:rsidR="004312DC" w:rsidRPr="008C62A9">
        <w:rPr>
          <w:rFonts w:eastAsia="Calibri" w:cs="Arial"/>
        </w:rPr>
        <w:t>4</w:t>
      </w:r>
      <w:r w:rsidR="001E14DA" w:rsidRPr="008C62A9">
        <w:rPr>
          <w:rFonts w:eastAsia="Calibri" w:cs="Arial"/>
        </w:rPr>
        <w:t xml:space="preserve"> years includes:</w:t>
      </w:r>
    </w:p>
    <w:p w14:paraId="1A789B57" w14:textId="77777777" w:rsidR="001E14DA" w:rsidRPr="008C62A9" w:rsidRDefault="001E14DA" w:rsidP="00302C27">
      <w:pPr>
        <w:numPr>
          <w:ilvl w:val="0"/>
          <w:numId w:val="8"/>
        </w:numPr>
        <w:ind w:left="851" w:hanging="284"/>
        <w:rPr>
          <w:rFonts w:eastAsia="Calibri" w:cs="Arial"/>
        </w:rPr>
      </w:pPr>
      <w:r w:rsidRPr="008C62A9">
        <w:rPr>
          <w:rFonts w:eastAsia="Calibri" w:cs="Arial"/>
        </w:rPr>
        <w:t xml:space="preserve">   Tower block refurbishment £</w:t>
      </w:r>
      <w:r w:rsidR="008C62A9" w:rsidRPr="008C62A9">
        <w:rPr>
          <w:rFonts w:eastAsia="Calibri" w:cs="Arial"/>
        </w:rPr>
        <w:t>7</w:t>
      </w:r>
      <w:r w:rsidRPr="008C62A9">
        <w:rPr>
          <w:rFonts w:eastAsia="Calibri" w:cs="Arial"/>
        </w:rPr>
        <w:t xml:space="preserve"> million</w:t>
      </w:r>
    </w:p>
    <w:p w14:paraId="1FEC24A9" w14:textId="77777777" w:rsidR="001E14DA" w:rsidRPr="008C62A9" w:rsidRDefault="001E14DA" w:rsidP="00302C27">
      <w:pPr>
        <w:numPr>
          <w:ilvl w:val="0"/>
          <w:numId w:val="8"/>
        </w:numPr>
        <w:ind w:left="851" w:hanging="284"/>
        <w:rPr>
          <w:rFonts w:eastAsia="Calibri" w:cs="Arial"/>
        </w:rPr>
      </w:pPr>
      <w:r w:rsidRPr="008C62A9">
        <w:rPr>
          <w:rFonts w:eastAsia="Calibri" w:cs="Arial"/>
        </w:rPr>
        <w:t xml:space="preserve">   Great Estates enhancement of car parking and other infrastructure £</w:t>
      </w:r>
      <w:r w:rsidR="004312DC" w:rsidRPr="008C62A9">
        <w:rPr>
          <w:rFonts w:eastAsia="Calibri" w:cs="Arial"/>
        </w:rPr>
        <w:t>4.</w:t>
      </w:r>
      <w:r w:rsidR="008C62A9" w:rsidRPr="008C62A9">
        <w:rPr>
          <w:rFonts w:eastAsia="Calibri" w:cs="Arial"/>
        </w:rPr>
        <w:t>2</w:t>
      </w:r>
      <w:r w:rsidR="004312DC" w:rsidRPr="008C62A9">
        <w:rPr>
          <w:rFonts w:eastAsia="Calibri" w:cs="Arial"/>
        </w:rPr>
        <w:t xml:space="preserve"> </w:t>
      </w:r>
      <w:r w:rsidRPr="008C62A9">
        <w:rPr>
          <w:rFonts w:eastAsia="Calibri" w:cs="Arial"/>
        </w:rPr>
        <w:t>million</w:t>
      </w:r>
    </w:p>
    <w:p w14:paraId="414728E2" w14:textId="0EE4E48A" w:rsidR="004312DC" w:rsidRPr="008C62A9" w:rsidRDefault="004312DC" w:rsidP="009E1C3C">
      <w:pPr>
        <w:numPr>
          <w:ilvl w:val="0"/>
          <w:numId w:val="8"/>
        </w:numPr>
        <w:ind w:left="1134" w:hanging="567"/>
        <w:rPr>
          <w:rFonts w:eastAsia="Calibri" w:cs="Arial"/>
        </w:rPr>
      </w:pPr>
      <w:r w:rsidRPr="008C62A9">
        <w:rPr>
          <w:rFonts w:eastAsia="Calibri" w:cs="Arial"/>
        </w:rPr>
        <w:t>Barton Regeneration £3.</w:t>
      </w:r>
      <w:r w:rsidR="008C62A9" w:rsidRPr="008C62A9">
        <w:rPr>
          <w:rFonts w:eastAsia="Calibri" w:cs="Arial"/>
        </w:rPr>
        <w:t>3</w:t>
      </w:r>
      <w:r w:rsidRPr="008C62A9">
        <w:rPr>
          <w:rFonts w:eastAsia="Calibri" w:cs="Arial"/>
        </w:rPr>
        <w:t xml:space="preserve"> million</w:t>
      </w:r>
    </w:p>
    <w:p w14:paraId="61F8367F" w14:textId="77777777" w:rsidR="001E14DA" w:rsidRPr="008C62A9" w:rsidRDefault="004312DC" w:rsidP="009E1C3C">
      <w:pPr>
        <w:numPr>
          <w:ilvl w:val="0"/>
          <w:numId w:val="8"/>
        </w:numPr>
        <w:tabs>
          <w:tab w:val="left" w:pos="1134"/>
        </w:tabs>
        <w:ind w:left="1134" w:hanging="567"/>
        <w:rPr>
          <w:rFonts w:eastAsia="Calibri" w:cs="Arial"/>
        </w:rPr>
      </w:pPr>
      <w:r w:rsidRPr="008C62A9">
        <w:rPr>
          <w:rFonts w:eastAsia="Calibri" w:cs="Arial"/>
        </w:rPr>
        <w:t xml:space="preserve"> Improvements to doors, windows, controlled entry including the Oxford Standard - £6 million</w:t>
      </w:r>
    </w:p>
    <w:p w14:paraId="0A4FA285" w14:textId="24397DB2" w:rsidR="004312DC" w:rsidRPr="008C62A9" w:rsidRDefault="00A83443" w:rsidP="009E1C3C">
      <w:pPr>
        <w:numPr>
          <w:ilvl w:val="0"/>
          <w:numId w:val="8"/>
        </w:numPr>
        <w:ind w:left="1134" w:hanging="567"/>
        <w:rPr>
          <w:rFonts w:eastAsia="Calibri" w:cs="Arial"/>
        </w:rPr>
      </w:pPr>
      <w:r>
        <w:rPr>
          <w:rFonts w:eastAsia="Calibri" w:cs="Arial"/>
        </w:rPr>
        <w:t>Replacements</w:t>
      </w:r>
      <w:r w:rsidR="004312DC" w:rsidRPr="008C62A9">
        <w:rPr>
          <w:rFonts w:eastAsia="Calibri" w:cs="Arial"/>
        </w:rPr>
        <w:t xml:space="preserve"> </w:t>
      </w:r>
      <w:r>
        <w:rPr>
          <w:rFonts w:eastAsia="Calibri" w:cs="Arial"/>
        </w:rPr>
        <w:t>of</w:t>
      </w:r>
      <w:r w:rsidR="004312DC" w:rsidRPr="008C62A9">
        <w:rPr>
          <w:rFonts w:eastAsia="Calibri" w:cs="Arial"/>
        </w:rPr>
        <w:t xml:space="preserve"> kitchens, bathrooms, roofs</w:t>
      </w:r>
      <w:r w:rsidR="00355759" w:rsidRPr="008C62A9">
        <w:rPr>
          <w:rFonts w:eastAsia="Calibri" w:cs="Arial"/>
        </w:rPr>
        <w:t>, heating and electrics -£18 million</w:t>
      </w:r>
    </w:p>
    <w:p w14:paraId="2C1A8FE0" w14:textId="2DF6BF30" w:rsidR="00355759" w:rsidRPr="008C62A9" w:rsidRDefault="00355759" w:rsidP="009E1C3C">
      <w:pPr>
        <w:numPr>
          <w:ilvl w:val="0"/>
          <w:numId w:val="8"/>
        </w:numPr>
        <w:ind w:left="1134" w:hanging="567"/>
        <w:rPr>
          <w:rFonts w:eastAsia="Calibri" w:cs="Arial"/>
        </w:rPr>
      </w:pPr>
      <w:r w:rsidRPr="008C62A9">
        <w:rPr>
          <w:rFonts w:eastAsia="Calibri" w:cs="Arial"/>
        </w:rPr>
        <w:t>Blackbird Leys Regener</w:t>
      </w:r>
      <w:r w:rsidR="008B57BB" w:rsidRPr="008C62A9">
        <w:rPr>
          <w:rFonts w:eastAsia="Calibri" w:cs="Arial"/>
        </w:rPr>
        <w:t>ation - £</w:t>
      </w:r>
      <w:r w:rsidR="008C62A9" w:rsidRPr="008C62A9">
        <w:rPr>
          <w:rFonts w:eastAsia="Calibri" w:cs="Arial"/>
        </w:rPr>
        <w:t>5.</w:t>
      </w:r>
      <w:r w:rsidR="00194A39">
        <w:rPr>
          <w:rFonts w:eastAsia="Calibri" w:cs="Arial"/>
        </w:rPr>
        <w:t>4</w:t>
      </w:r>
      <w:r w:rsidR="008B57BB" w:rsidRPr="008C62A9">
        <w:rPr>
          <w:rFonts w:eastAsia="Calibri" w:cs="Arial"/>
        </w:rPr>
        <w:t xml:space="preserve"> million – to undertake </w:t>
      </w:r>
      <w:r w:rsidR="00803544" w:rsidRPr="008C62A9">
        <w:rPr>
          <w:rFonts w:eastAsia="Calibri" w:cs="Arial"/>
        </w:rPr>
        <w:t xml:space="preserve">regeneration at the </w:t>
      </w:r>
      <w:r w:rsidR="009E1C3C">
        <w:rPr>
          <w:rFonts w:eastAsia="Calibri" w:cs="Arial"/>
        </w:rPr>
        <w:t xml:space="preserve">   </w:t>
      </w:r>
      <w:r w:rsidR="00803544" w:rsidRPr="008C62A9">
        <w:rPr>
          <w:rFonts w:eastAsia="Calibri" w:cs="Arial"/>
        </w:rPr>
        <w:t>heart of the estate</w:t>
      </w:r>
    </w:p>
    <w:p w14:paraId="120E49C3" w14:textId="566391F9" w:rsidR="001E14DA" w:rsidRPr="008C62A9" w:rsidRDefault="005806AE" w:rsidP="009E1C3C">
      <w:pPr>
        <w:numPr>
          <w:ilvl w:val="0"/>
          <w:numId w:val="8"/>
        </w:numPr>
        <w:ind w:left="1134" w:hanging="567"/>
        <w:rPr>
          <w:rFonts w:eastAsia="Calibri" w:cs="Arial"/>
          <w:b/>
        </w:rPr>
      </w:pPr>
      <w:r w:rsidRPr="008C62A9">
        <w:rPr>
          <w:rFonts w:eastAsia="Calibri" w:cs="Arial"/>
        </w:rPr>
        <w:t>A contingency of £</w:t>
      </w:r>
      <w:r w:rsidR="008B57BB" w:rsidRPr="008C62A9">
        <w:rPr>
          <w:rFonts w:eastAsia="Calibri" w:cs="Arial"/>
        </w:rPr>
        <w:t>2</w:t>
      </w:r>
      <w:r w:rsidR="002977AD">
        <w:rPr>
          <w:rFonts w:eastAsia="Calibri" w:cs="Arial"/>
        </w:rPr>
        <w:t>3</w:t>
      </w:r>
      <w:r w:rsidR="008B57BB" w:rsidRPr="008C62A9">
        <w:rPr>
          <w:rFonts w:eastAsia="Calibri" w:cs="Arial"/>
        </w:rPr>
        <w:t>.</w:t>
      </w:r>
      <w:r w:rsidR="002977AD">
        <w:rPr>
          <w:rFonts w:eastAsia="Calibri" w:cs="Arial"/>
        </w:rPr>
        <w:t>1</w:t>
      </w:r>
      <w:r w:rsidRPr="008C62A9">
        <w:rPr>
          <w:rFonts w:eastAsia="Calibri" w:cs="Arial"/>
        </w:rPr>
        <w:t xml:space="preserve"> million</w:t>
      </w:r>
      <w:r w:rsidR="00535EB4">
        <w:rPr>
          <w:rFonts w:eastAsia="Calibri" w:cs="Arial"/>
        </w:rPr>
        <w:t xml:space="preserve"> </w:t>
      </w:r>
      <w:r w:rsidRPr="008C62A9">
        <w:rPr>
          <w:rFonts w:eastAsia="Calibri" w:cs="Arial"/>
        </w:rPr>
        <w:t>to mitigate the potential financial effect of the Government</w:t>
      </w:r>
      <w:r w:rsidR="00BA268D" w:rsidRPr="008C62A9">
        <w:rPr>
          <w:rFonts w:eastAsia="Calibri" w:cs="Arial"/>
        </w:rPr>
        <w:t>’</w:t>
      </w:r>
      <w:r w:rsidRPr="008C62A9">
        <w:rPr>
          <w:rFonts w:eastAsia="Calibri" w:cs="Arial"/>
        </w:rPr>
        <w:t>s initiatives around High Value Council Housing</w:t>
      </w:r>
      <w:r w:rsidR="008C62A9" w:rsidRPr="008C62A9">
        <w:rPr>
          <w:rFonts w:eastAsia="Calibri" w:cs="Arial"/>
        </w:rPr>
        <w:t xml:space="preserve"> </w:t>
      </w:r>
      <w:r w:rsidR="008B57BB" w:rsidRPr="008C62A9">
        <w:rPr>
          <w:rFonts w:eastAsia="Calibri" w:cs="Arial"/>
        </w:rPr>
        <w:t>in lieu of selling high value council housing</w:t>
      </w:r>
      <w:r w:rsidR="008C62A9" w:rsidRPr="008C62A9">
        <w:rPr>
          <w:rFonts w:eastAsia="Calibri" w:cs="Arial"/>
        </w:rPr>
        <w:t xml:space="preserve"> </w:t>
      </w:r>
      <w:r w:rsidR="00614D4F" w:rsidRPr="008C62A9">
        <w:rPr>
          <w:rFonts w:eastAsia="Calibri" w:cs="Arial"/>
        </w:rPr>
        <w:t xml:space="preserve">(See also para </w:t>
      </w:r>
      <w:r w:rsidR="0059228F">
        <w:rPr>
          <w:rFonts w:eastAsia="Calibri" w:cs="Arial"/>
        </w:rPr>
        <w:t>3</w:t>
      </w:r>
      <w:r w:rsidR="00692486">
        <w:rPr>
          <w:rFonts w:eastAsia="Calibri" w:cs="Arial"/>
        </w:rPr>
        <w:t>8</w:t>
      </w:r>
      <w:r w:rsidR="00614D4F" w:rsidRPr="008C62A9">
        <w:rPr>
          <w:rFonts w:eastAsia="Calibri" w:cs="Arial"/>
        </w:rPr>
        <w:t>)</w:t>
      </w:r>
      <w:r w:rsidR="008B57BB" w:rsidRPr="008C62A9">
        <w:rPr>
          <w:rFonts w:eastAsia="Calibri" w:cs="Arial"/>
        </w:rPr>
        <w:t xml:space="preserve"> </w:t>
      </w:r>
    </w:p>
    <w:p w14:paraId="493078F5" w14:textId="77777777" w:rsidR="001E14DA" w:rsidRPr="007044FC" w:rsidRDefault="001E14DA" w:rsidP="0009616E">
      <w:pPr>
        <w:rPr>
          <w:rFonts w:eastAsia="Calibri" w:cs="Arial"/>
          <w:b/>
        </w:rPr>
      </w:pPr>
    </w:p>
    <w:p w14:paraId="639D34E8" w14:textId="57EBB38A" w:rsidR="001439EB" w:rsidRPr="007044FC" w:rsidRDefault="00496A88" w:rsidP="00885EDB">
      <w:pPr>
        <w:ind w:left="567" w:hanging="567"/>
        <w:rPr>
          <w:rFonts w:eastAsia="Calibri" w:cs="Arial"/>
        </w:rPr>
      </w:pPr>
      <w:r>
        <w:rPr>
          <w:rFonts w:eastAsia="Calibri" w:cs="Arial"/>
        </w:rPr>
        <w:t>5</w:t>
      </w:r>
      <w:r w:rsidR="00BD0932">
        <w:rPr>
          <w:rFonts w:eastAsia="Calibri" w:cs="Arial"/>
        </w:rPr>
        <w:t>4</w:t>
      </w:r>
      <w:r w:rsidR="001439EB" w:rsidRPr="007044FC">
        <w:rPr>
          <w:rFonts w:eastAsia="Calibri" w:cs="Arial"/>
        </w:rPr>
        <w:tab/>
        <w:t xml:space="preserve">The </w:t>
      </w:r>
      <w:r w:rsidR="00803544" w:rsidRPr="007044FC">
        <w:rPr>
          <w:rFonts w:eastAsia="Calibri" w:cs="Arial"/>
        </w:rPr>
        <w:t>f</w:t>
      </w:r>
      <w:r w:rsidR="001439EB" w:rsidRPr="007044FC">
        <w:rPr>
          <w:rFonts w:eastAsia="Calibri" w:cs="Arial"/>
        </w:rPr>
        <w:t xml:space="preserve">inancing of the HRA </w:t>
      </w:r>
      <w:r w:rsidR="00535EB4">
        <w:rPr>
          <w:rFonts w:eastAsia="Calibri" w:cs="Arial"/>
        </w:rPr>
        <w:t>Capital Programme</w:t>
      </w:r>
      <w:r w:rsidR="00885EDB" w:rsidRPr="007044FC">
        <w:rPr>
          <w:rFonts w:eastAsia="Calibri" w:cs="Arial"/>
        </w:rPr>
        <w:t xml:space="preserve"> is from Revenue £6</w:t>
      </w:r>
      <w:r w:rsidR="00194A39">
        <w:rPr>
          <w:rFonts w:eastAsia="Calibri" w:cs="Arial"/>
        </w:rPr>
        <w:t>3</w:t>
      </w:r>
      <w:r w:rsidR="00FC2EC9" w:rsidRPr="007044FC">
        <w:rPr>
          <w:rFonts w:eastAsia="Calibri" w:cs="Arial"/>
        </w:rPr>
        <w:t>.</w:t>
      </w:r>
      <w:r w:rsidR="00194A39">
        <w:rPr>
          <w:rFonts w:eastAsia="Calibri" w:cs="Arial"/>
        </w:rPr>
        <w:t>8</w:t>
      </w:r>
      <w:r w:rsidR="00885EDB" w:rsidRPr="007044FC">
        <w:rPr>
          <w:rFonts w:eastAsia="Calibri" w:cs="Arial"/>
        </w:rPr>
        <w:t xml:space="preserve"> million and </w:t>
      </w:r>
      <w:r w:rsidR="00FC2EC9" w:rsidRPr="007044FC">
        <w:rPr>
          <w:rFonts w:eastAsia="Calibri" w:cs="Arial"/>
        </w:rPr>
        <w:t xml:space="preserve">Capital Receipts </w:t>
      </w:r>
      <w:r w:rsidR="00885EDB" w:rsidRPr="007044FC">
        <w:rPr>
          <w:rFonts w:eastAsia="Calibri" w:cs="Arial"/>
        </w:rPr>
        <w:t>£</w:t>
      </w:r>
      <w:r w:rsidR="00FC2EC9" w:rsidRPr="007044FC">
        <w:rPr>
          <w:rFonts w:eastAsia="Calibri" w:cs="Arial"/>
        </w:rPr>
        <w:t>8.8</w:t>
      </w:r>
      <w:r w:rsidR="00885EDB" w:rsidRPr="007044FC">
        <w:rPr>
          <w:rFonts w:eastAsia="Calibri" w:cs="Arial"/>
        </w:rPr>
        <w:t xml:space="preserve"> million.</w:t>
      </w:r>
    </w:p>
    <w:p w14:paraId="1ED1AEDE" w14:textId="7AECA43A" w:rsidR="004902C0" w:rsidRPr="002C2483" w:rsidRDefault="001439EB" w:rsidP="001A30D1">
      <w:pPr>
        <w:rPr>
          <w:rFonts w:eastAsia="Calibri" w:cs="Arial"/>
          <w:b/>
          <w:highlight w:val="yellow"/>
        </w:rPr>
      </w:pPr>
      <w:r w:rsidRPr="007044FC">
        <w:rPr>
          <w:rFonts w:eastAsia="Calibri" w:cs="Arial"/>
          <w:b/>
        </w:rPr>
        <w:t xml:space="preserve"> </w:t>
      </w:r>
    </w:p>
    <w:p w14:paraId="6D2E3876" w14:textId="77777777" w:rsidR="003A0255" w:rsidRPr="00F96498" w:rsidRDefault="009A6B0F" w:rsidP="002B7914">
      <w:pPr>
        <w:spacing w:line="360" w:lineRule="auto"/>
        <w:ind w:left="567" w:right="386"/>
        <w:jc w:val="both"/>
        <w:rPr>
          <w:b/>
        </w:rPr>
      </w:pPr>
      <w:r w:rsidRPr="00F96498">
        <w:rPr>
          <w:b/>
        </w:rPr>
        <w:t>Risk Implications impacting the Capital Programme</w:t>
      </w:r>
    </w:p>
    <w:p w14:paraId="21390174" w14:textId="0E78982F" w:rsidR="009A6B0F" w:rsidRPr="00F96498" w:rsidRDefault="0010427B" w:rsidP="002B7914">
      <w:pPr>
        <w:ind w:left="567" w:right="386" w:hanging="567"/>
        <w:jc w:val="both"/>
      </w:pPr>
      <w:r>
        <w:t>5</w:t>
      </w:r>
      <w:r w:rsidR="00BD0932">
        <w:t>5</w:t>
      </w:r>
      <w:r w:rsidR="00401D83" w:rsidRPr="00F96498">
        <w:tab/>
      </w:r>
      <w:r w:rsidR="009A6B0F" w:rsidRPr="00F96498">
        <w:t xml:space="preserve">The main risks to the </w:t>
      </w:r>
      <w:r w:rsidR="009E1C3C">
        <w:t>C</w:t>
      </w:r>
      <w:r w:rsidR="00DF0D5E" w:rsidRPr="00F96498">
        <w:t xml:space="preserve">apital Programme are set out in </w:t>
      </w:r>
      <w:r w:rsidR="009A6B0F" w:rsidRPr="00F96498">
        <w:t xml:space="preserve">Appendix </w:t>
      </w:r>
      <w:r w:rsidR="0059228F">
        <w:t>8</w:t>
      </w:r>
      <w:r w:rsidR="009A6B0F" w:rsidRPr="00F96498">
        <w:t xml:space="preserve"> </w:t>
      </w:r>
      <w:r w:rsidR="00DF0D5E" w:rsidRPr="00F96498">
        <w:t>and summarised below</w:t>
      </w:r>
      <w:r w:rsidR="009A6B0F" w:rsidRPr="00F96498">
        <w:t>:</w:t>
      </w:r>
    </w:p>
    <w:p w14:paraId="22F978EA" w14:textId="77777777" w:rsidR="009A6B0F" w:rsidRPr="00F96498" w:rsidRDefault="009A6B0F" w:rsidP="009A6B0F">
      <w:pPr>
        <w:ind w:left="1440" w:right="386"/>
        <w:jc w:val="both"/>
      </w:pPr>
    </w:p>
    <w:p w14:paraId="57A05E35" w14:textId="77777777" w:rsidR="009A6B0F" w:rsidRPr="00F96498" w:rsidRDefault="009A6B0F" w:rsidP="00302C27">
      <w:pPr>
        <w:numPr>
          <w:ilvl w:val="0"/>
          <w:numId w:val="5"/>
        </w:numPr>
        <w:tabs>
          <w:tab w:val="clear" w:pos="1495"/>
          <w:tab w:val="num" w:pos="851"/>
        </w:tabs>
        <w:ind w:left="851" w:right="386" w:hanging="284"/>
        <w:jc w:val="both"/>
      </w:pPr>
      <w:r w:rsidRPr="00F96498">
        <w:t>Disposals</w:t>
      </w:r>
      <w:r w:rsidR="00DF0D5E" w:rsidRPr="00F96498">
        <w:t xml:space="preserve"> as detailed before are</w:t>
      </w:r>
      <w:r w:rsidRPr="00F96498">
        <w:t xml:space="preserve"> not secured causing a shortfall in funding of schemes</w:t>
      </w:r>
    </w:p>
    <w:p w14:paraId="3E4AEFBF" w14:textId="77777777" w:rsidR="00865A2B" w:rsidRPr="00F96498" w:rsidRDefault="00865A2B" w:rsidP="00302C27">
      <w:pPr>
        <w:numPr>
          <w:ilvl w:val="0"/>
          <w:numId w:val="5"/>
        </w:numPr>
        <w:tabs>
          <w:tab w:val="clear" w:pos="1495"/>
          <w:tab w:val="num" w:pos="851"/>
        </w:tabs>
        <w:ind w:left="851" w:right="386" w:hanging="284"/>
        <w:jc w:val="both"/>
      </w:pPr>
      <w:r w:rsidRPr="00F96498">
        <w:t>Estimate for payment to Government in respect of HVCH is insufficient</w:t>
      </w:r>
    </w:p>
    <w:p w14:paraId="5BDC39B8" w14:textId="77777777" w:rsidR="009A6B0F" w:rsidRPr="00F96498" w:rsidRDefault="009A6B0F" w:rsidP="00302C27">
      <w:pPr>
        <w:numPr>
          <w:ilvl w:val="0"/>
          <w:numId w:val="5"/>
        </w:numPr>
        <w:tabs>
          <w:tab w:val="clear" w:pos="1495"/>
          <w:tab w:val="num" w:pos="851"/>
        </w:tabs>
        <w:ind w:left="851" w:right="386" w:hanging="284"/>
        <w:jc w:val="both"/>
      </w:pPr>
      <w:r w:rsidRPr="00F96498">
        <w:t xml:space="preserve">Slippage in </w:t>
      </w:r>
      <w:r w:rsidR="00DF0D5E" w:rsidRPr="00F96498">
        <w:t>C</w:t>
      </w:r>
      <w:r w:rsidRPr="00F96498">
        <w:t xml:space="preserve">apital </w:t>
      </w:r>
      <w:r w:rsidR="00DF0D5E" w:rsidRPr="00F96498">
        <w:t>P</w:t>
      </w:r>
      <w:r w:rsidRPr="00F96498">
        <w:t xml:space="preserve">rogramme and impact on </w:t>
      </w:r>
      <w:r w:rsidR="00E34F9A" w:rsidRPr="00F96498">
        <w:t>delivery of priorities</w:t>
      </w:r>
    </w:p>
    <w:p w14:paraId="2A9F1EB0" w14:textId="77777777" w:rsidR="009A6B0F" w:rsidRPr="00F96498" w:rsidRDefault="009A6B0F" w:rsidP="00302C27">
      <w:pPr>
        <w:numPr>
          <w:ilvl w:val="0"/>
          <w:numId w:val="5"/>
        </w:numPr>
        <w:tabs>
          <w:tab w:val="clear" w:pos="1495"/>
          <w:tab w:val="num" w:pos="851"/>
        </w:tabs>
        <w:ind w:left="851" w:right="386" w:hanging="284"/>
        <w:jc w:val="both"/>
      </w:pPr>
      <w:r w:rsidRPr="00F96498">
        <w:t>Robustness of estimates</w:t>
      </w:r>
    </w:p>
    <w:p w14:paraId="35690D6C" w14:textId="77777777" w:rsidR="001A54CF" w:rsidRPr="00F96498" w:rsidRDefault="001A54CF" w:rsidP="007C20F4">
      <w:pPr>
        <w:ind w:right="386" w:firstLine="540"/>
        <w:jc w:val="both"/>
        <w:rPr>
          <w:b/>
        </w:rPr>
      </w:pPr>
    </w:p>
    <w:p w14:paraId="1A34A6A7" w14:textId="77777777" w:rsidR="00E66B72" w:rsidRPr="00F96498" w:rsidRDefault="00E66B72" w:rsidP="002B7914">
      <w:pPr>
        <w:ind w:right="386" w:firstLine="567"/>
        <w:jc w:val="both"/>
        <w:rPr>
          <w:b/>
        </w:rPr>
      </w:pPr>
      <w:r w:rsidRPr="00F96498">
        <w:rPr>
          <w:b/>
        </w:rPr>
        <w:t>Budget next steps</w:t>
      </w:r>
    </w:p>
    <w:p w14:paraId="70EA13E8" w14:textId="77777777" w:rsidR="00E66B72" w:rsidRPr="00F96498" w:rsidRDefault="00E66B72" w:rsidP="007C20F4">
      <w:pPr>
        <w:ind w:right="386" w:firstLine="540"/>
        <w:jc w:val="both"/>
      </w:pPr>
    </w:p>
    <w:p w14:paraId="06B656BB" w14:textId="6365341D" w:rsidR="00DE3FBB" w:rsidRDefault="00496A88" w:rsidP="005A6CB9">
      <w:pPr>
        <w:ind w:left="567" w:right="386" w:hanging="567"/>
        <w:jc w:val="both"/>
      </w:pPr>
      <w:r>
        <w:t>5</w:t>
      </w:r>
      <w:r w:rsidR="00BD0932">
        <w:t>6</w:t>
      </w:r>
      <w:r w:rsidR="0098663E" w:rsidRPr="00F96498">
        <w:tab/>
      </w:r>
      <w:r w:rsidR="00E66B72" w:rsidRPr="00F96498">
        <w:t>The timetable for consultation and for Budget approval by Council is set out in the following table:</w:t>
      </w:r>
    </w:p>
    <w:p w14:paraId="2948DBD1" w14:textId="77777777" w:rsidR="00C402E5" w:rsidRPr="00F96498" w:rsidRDefault="00C402E5" w:rsidP="005A6CB9">
      <w:pPr>
        <w:ind w:left="567" w:right="386" w:hanging="567"/>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412"/>
      </w:tblGrid>
      <w:tr w:rsidR="00B47C41" w:rsidRPr="00F96498" w14:paraId="12DF937B" w14:textId="77777777" w:rsidTr="002B7914">
        <w:tc>
          <w:tcPr>
            <w:tcW w:w="8933" w:type="dxa"/>
            <w:gridSpan w:val="2"/>
            <w:shd w:val="clear" w:color="auto" w:fill="auto"/>
          </w:tcPr>
          <w:p w14:paraId="1C2A03C6" w14:textId="77777777" w:rsidR="00B47C41" w:rsidRPr="00F96498" w:rsidRDefault="00B47C41" w:rsidP="00503657">
            <w:pPr>
              <w:ind w:right="386"/>
              <w:rPr>
                <w:b/>
              </w:rPr>
            </w:pPr>
            <w:r w:rsidRPr="00F96498">
              <w:rPr>
                <w:b/>
              </w:rPr>
              <w:lastRenderedPageBreak/>
              <w:t xml:space="preserve">Table </w:t>
            </w:r>
            <w:r w:rsidR="00165A9E" w:rsidRPr="00F96498">
              <w:rPr>
                <w:b/>
              </w:rPr>
              <w:t>1</w:t>
            </w:r>
            <w:r w:rsidR="00503657">
              <w:rPr>
                <w:b/>
              </w:rPr>
              <w:t>4</w:t>
            </w:r>
            <w:r w:rsidRPr="00F96498">
              <w:rPr>
                <w:b/>
              </w:rPr>
              <w:t xml:space="preserve"> Budget Consultation Timetable</w:t>
            </w:r>
          </w:p>
        </w:tc>
      </w:tr>
      <w:tr w:rsidR="002B3BBA" w:rsidRPr="00F96498" w14:paraId="406D5A4E" w14:textId="77777777" w:rsidTr="002B7914">
        <w:tc>
          <w:tcPr>
            <w:tcW w:w="6521" w:type="dxa"/>
          </w:tcPr>
          <w:p w14:paraId="26299347" w14:textId="77777777" w:rsidR="002B3BBA" w:rsidRPr="00F96498" w:rsidRDefault="002B3BBA" w:rsidP="00E444D2">
            <w:pPr>
              <w:ind w:right="386"/>
              <w:jc w:val="both"/>
            </w:pPr>
            <w:r w:rsidRPr="00F96498">
              <w:t>Consultation Budget Report to CEB</w:t>
            </w:r>
          </w:p>
        </w:tc>
        <w:tc>
          <w:tcPr>
            <w:tcW w:w="2412" w:type="dxa"/>
          </w:tcPr>
          <w:p w14:paraId="2403CA1C" w14:textId="77777777" w:rsidR="002B3BBA" w:rsidRPr="00F96498" w:rsidRDefault="0069562D" w:rsidP="00F96498">
            <w:pPr>
              <w:ind w:right="386"/>
            </w:pPr>
            <w:r w:rsidRPr="00F96498">
              <w:t>1</w:t>
            </w:r>
            <w:r w:rsidR="00F96498" w:rsidRPr="00F96498">
              <w:t>5</w:t>
            </w:r>
            <w:r w:rsidR="002B3BBA" w:rsidRPr="00F96498">
              <w:rPr>
                <w:vertAlign w:val="superscript"/>
              </w:rPr>
              <w:t>th</w:t>
            </w:r>
            <w:r w:rsidR="002B3BBA" w:rsidRPr="00F96498">
              <w:t xml:space="preserve"> December </w:t>
            </w:r>
          </w:p>
        </w:tc>
      </w:tr>
      <w:tr w:rsidR="002B3BBA" w:rsidRPr="00F96498" w14:paraId="03555456" w14:textId="77777777" w:rsidTr="002B7914">
        <w:tc>
          <w:tcPr>
            <w:tcW w:w="6521" w:type="dxa"/>
          </w:tcPr>
          <w:p w14:paraId="3E2E3CC6" w14:textId="77777777" w:rsidR="002B3BBA" w:rsidRPr="00F96498" w:rsidRDefault="002B3BBA" w:rsidP="00E444D2">
            <w:pPr>
              <w:ind w:right="386"/>
              <w:jc w:val="both"/>
            </w:pPr>
            <w:r w:rsidRPr="00F96498">
              <w:t>Budget Consultation Period</w:t>
            </w:r>
          </w:p>
        </w:tc>
        <w:tc>
          <w:tcPr>
            <w:tcW w:w="2412" w:type="dxa"/>
          </w:tcPr>
          <w:p w14:paraId="0EDE5AFD" w14:textId="77777777" w:rsidR="002B3BBA" w:rsidRPr="00F96498" w:rsidRDefault="0069562D" w:rsidP="00F96498">
            <w:pPr>
              <w:ind w:right="386"/>
            </w:pPr>
            <w:r w:rsidRPr="00F96498">
              <w:t>1</w:t>
            </w:r>
            <w:r w:rsidR="00F96498" w:rsidRPr="00F96498">
              <w:t>6</w:t>
            </w:r>
            <w:r w:rsidRPr="00F96498">
              <w:rPr>
                <w:vertAlign w:val="superscript"/>
              </w:rPr>
              <w:t>th</w:t>
            </w:r>
            <w:r w:rsidRPr="00F96498">
              <w:t xml:space="preserve"> </w:t>
            </w:r>
            <w:r w:rsidR="002B3BBA" w:rsidRPr="00F96498">
              <w:t>December to January 201</w:t>
            </w:r>
            <w:r w:rsidR="00F96498" w:rsidRPr="00F96498">
              <w:t>7</w:t>
            </w:r>
          </w:p>
        </w:tc>
      </w:tr>
      <w:tr w:rsidR="002B3BBA" w:rsidRPr="00F96498" w14:paraId="7922E4EB" w14:textId="77777777" w:rsidTr="002B7914">
        <w:tc>
          <w:tcPr>
            <w:tcW w:w="6521" w:type="dxa"/>
          </w:tcPr>
          <w:p w14:paraId="7B911219" w14:textId="77777777" w:rsidR="002B3BBA" w:rsidRPr="00F96498" w:rsidRDefault="002B3BBA" w:rsidP="00E444D2">
            <w:pPr>
              <w:ind w:right="386"/>
              <w:jc w:val="both"/>
            </w:pPr>
            <w:r w:rsidRPr="00F96498">
              <w:t xml:space="preserve">Final Budget Report to CEB including </w:t>
            </w:r>
            <w:r w:rsidR="00506E70" w:rsidRPr="00F96498">
              <w:t>outcome of Consultation</w:t>
            </w:r>
          </w:p>
        </w:tc>
        <w:tc>
          <w:tcPr>
            <w:tcW w:w="2412" w:type="dxa"/>
          </w:tcPr>
          <w:p w14:paraId="07704565" w14:textId="77777777" w:rsidR="002B3BBA" w:rsidRPr="00F96498" w:rsidRDefault="00F96498" w:rsidP="00F96498">
            <w:pPr>
              <w:ind w:right="386"/>
            </w:pPr>
            <w:r w:rsidRPr="00F96498">
              <w:t>9th</w:t>
            </w:r>
            <w:r w:rsidR="0069562D" w:rsidRPr="00F96498">
              <w:t xml:space="preserve"> February 201</w:t>
            </w:r>
            <w:r w:rsidRPr="00F96498">
              <w:t>7</w:t>
            </w:r>
          </w:p>
        </w:tc>
      </w:tr>
      <w:tr w:rsidR="002B3BBA" w:rsidRPr="00F96498" w14:paraId="21F4F15C" w14:textId="77777777" w:rsidTr="002B7914">
        <w:tc>
          <w:tcPr>
            <w:tcW w:w="6521" w:type="dxa"/>
          </w:tcPr>
          <w:p w14:paraId="4AB4F22C" w14:textId="77777777" w:rsidR="002B3BBA" w:rsidRPr="00F96498" w:rsidRDefault="002B3BBA" w:rsidP="00E444D2">
            <w:pPr>
              <w:ind w:right="386"/>
              <w:jc w:val="both"/>
            </w:pPr>
            <w:r w:rsidRPr="00F96498">
              <w:t>Budget approval and Council Tax Setting</w:t>
            </w:r>
          </w:p>
        </w:tc>
        <w:tc>
          <w:tcPr>
            <w:tcW w:w="2412" w:type="dxa"/>
          </w:tcPr>
          <w:p w14:paraId="1ABB63EB" w14:textId="77777777" w:rsidR="002B3BBA" w:rsidRPr="00F96498" w:rsidRDefault="00F96498" w:rsidP="00F96498">
            <w:pPr>
              <w:ind w:right="386"/>
            </w:pPr>
            <w:r w:rsidRPr="00F96498">
              <w:t>20</w:t>
            </w:r>
            <w:r w:rsidR="00E70508" w:rsidRPr="00F96498">
              <w:t>th</w:t>
            </w:r>
            <w:r w:rsidR="002B3BBA" w:rsidRPr="00F96498">
              <w:t xml:space="preserve"> Febru</w:t>
            </w:r>
            <w:r w:rsidR="00E83500" w:rsidRPr="00F96498">
              <w:t>a</w:t>
            </w:r>
            <w:r w:rsidR="002B3BBA" w:rsidRPr="00F96498">
              <w:t>ry 201</w:t>
            </w:r>
            <w:r w:rsidRPr="00F96498">
              <w:t>7</w:t>
            </w:r>
          </w:p>
        </w:tc>
      </w:tr>
    </w:tbl>
    <w:p w14:paraId="4CDC18BC" w14:textId="77777777" w:rsidR="002B3BBA" w:rsidRPr="00F96498" w:rsidRDefault="002B3BBA" w:rsidP="003A0255">
      <w:pPr>
        <w:ind w:left="720" w:right="386"/>
        <w:jc w:val="both"/>
      </w:pPr>
    </w:p>
    <w:p w14:paraId="32ADB49F" w14:textId="7C8557F7" w:rsidR="00815874" w:rsidRPr="00F96498" w:rsidRDefault="00496A88" w:rsidP="002B7914">
      <w:pPr>
        <w:ind w:left="567" w:right="386" w:hanging="567"/>
      </w:pPr>
      <w:r>
        <w:t>5</w:t>
      </w:r>
      <w:r w:rsidR="00BD0932">
        <w:t>7</w:t>
      </w:r>
      <w:r w:rsidR="00E25427" w:rsidRPr="00F96498">
        <w:tab/>
      </w:r>
      <w:r w:rsidR="00815874" w:rsidRPr="00F96498">
        <w:t>The budget consultation exercise will commence in December 201</w:t>
      </w:r>
      <w:r w:rsidR="00F96498" w:rsidRPr="00F96498">
        <w:t>6</w:t>
      </w:r>
      <w:r w:rsidR="00815874" w:rsidRPr="00F96498">
        <w:t xml:space="preserve"> and involve an online survey and the </w:t>
      </w:r>
      <w:r w:rsidR="00815874" w:rsidRPr="00F96498">
        <w:rPr>
          <w:i/>
        </w:rPr>
        <w:t>Oxford Mail</w:t>
      </w:r>
      <w:r w:rsidR="00815874" w:rsidRPr="00F96498">
        <w:t xml:space="preserve"> which will carry a simplified version of the survey. The outcome of the consultation process will be reported to CEB in February 201</w:t>
      </w:r>
      <w:r w:rsidR="00F96498" w:rsidRPr="00F96498">
        <w:t>7</w:t>
      </w:r>
      <w:r w:rsidR="00815874" w:rsidRPr="00F96498">
        <w:t>, together with the outcome of the final settlement determination</w:t>
      </w:r>
    </w:p>
    <w:p w14:paraId="4CF706D0" w14:textId="77777777" w:rsidR="00815874" w:rsidRPr="00F96498" w:rsidRDefault="00815874" w:rsidP="002B7914">
      <w:pPr>
        <w:ind w:left="567" w:right="386" w:hanging="567"/>
        <w:rPr>
          <w:b/>
          <w:sz w:val="28"/>
          <w:szCs w:val="28"/>
        </w:rPr>
      </w:pPr>
    </w:p>
    <w:p w14:paraId="3BCD253E" w14:textId="04C32AB8" w:rsidR="00902E5A" w:rsidRPr="00F96498" w:rsidRDefault="00496A88" w:rsidP="002B7914">
      <w:pPr>
        <w:ind w:left="567" w:hanging="567"/>
        <w:rPr>
          <w:rFonts w:ascii="Times New Roman" w:hAnsi="Times New Roman"/>
          <w:lang w:eastAsia="en-GB"/>
        </w:rPr>
      </w:pPr>
      <w:r>
        <w:t>5</w:t>
      </w:r>
      <w:r w:rsidR="00BD0932">
        <w:t>8</w:t>
      </w:r>
      <w:r w:rsidR="00E25427" w:rsidRPr="00F96498">
        <w:tab/>
      </w:r>
      <w:r w:rsidR="00DF0D5E" w:rsidRPr="00F96498">
        <w:t>T</w:t>
      </w:r>
      <w:r w:rsidR="00902E5A" w:rsidRPr="00F96498">
        <w:t>enant</w:t>
      </w:r>
      <w:r w:rsidR="00DF0D5E" w:rsidRPr="00F96498">
        <w:t>s</w:t>
      </w:r>
      <w:r w:rsidR="00902E5A" w:rsidRPr="00F96498">
        <w:t xml:space="preserve"> </w:t>
      </w:r>
      <w:r w:rsidR="00DF0D5E" w:rsidRPr="00F96498">
        <w:t>will be consulted on</w:t>
      </w:r>
      <w:r w:rsidR="00902E5A" w:rsidRPr="00F96498">
        <w:t xml:space="preserve"> the </w:t>
      </w:r>
      <w:r w:rsidR="00902E5A" w:rsidRPr="00F96498">
        <w:rPr>
          <w:rFonts w:cs="Arial"/>
          <w:lang w:eastAsia="en-GB"/>
        </w:rPr>
        <w:t xml:space="preserve">HRA budget </w:t>
      </w:r>
      <w:r w:rsidR="00BC5A4B" w:rsidRPr="00F96498">
        <w:rPr>
          <w:rFonts w:cs="Arial"/>
          <w:lang w:eastAsia="en-GB"/>
        </w:rPr>
        <w:t xml:space="preserve">including </w:t>
      </w:r>
      <w:r w:rsidR="00902E5A" w:rsidRPr="00F96498">
        <w:rPr>
          <w:rFonts w:cs="Arial"/>
          <w:lang w:eastAsia="en-GB"/>
        </w:rPr>
        <w:t>rent and service charge changes with a special resident focus group(s) and the tenant newsletter 'Tenants in Touch'.</w:t>
      </w:r>
    </w:p>
    <w:p w14:paraId="481A8088" w14:textId="77777777" w:rsidR="002B3BBA" w:rsidRPr="00F96498" w:rsidRDefault="002B3BBA" w:rsidP="002B7914">
      <w:pPr>
        <w:ind w:left="567" w:right="386" w:hanging="567"/>
        <w:jc w:val="both"/>
      </w:pPr>
    </w:p>
    <w:p w14:paraId="3BC1C669" w14:textId="77777777" w:rsidR="002B3BBA" w:rsidRPr="00F96498" w:rsidRDefault="00B17F3A" w:rsidP="002B7914">
      <w:pPr>
        <w:ind w:left="567" w:right="386" w:hanging="567"/>
        <w:jc w:val="both"/>
        <w:rPr>
          <w:b/>
        </w:rPr>
      </w:pPr>
      <w:r w:rsidRPr="00F96498">
        <w:rPr>
          <w:b/>
        </w:rPr>
        <w:tab/>
      </w:r>
      <w:r w:rsidR="00506E70" w:rsidRPr="00F96498">
        <w:rPr>
          <w:b/>
        </w:rPr>
        <w:t>Financial Implications</w:t>
      </w:r>
    </w:p>
    <w:p w14:paraId="662AB60C" w14:textId="53E26F9B" w:rsidR="00506E70" w:rsidRPr="00F96498" w:rsidRDefault="00BD0932" w:rsidP="002B7914">
      <w:pPr>
        <w:ind w:left="567" w:right="386" w:hanging="567"/>
        <w:jc w:val="both"/>
      </w:pPr>
      <w:r>
        <w:t>59</w:t>
      </w:r>
      <w:r w:rsidR="00404471" w:rsidRPr="00F96498">
        <w:tab/>
      </w:r>
      <w:r w:rsidR="00506E70" w:rsidRPr="00F96498">
        <w:t>These are covered within the main body of the report</w:t>
      </w:r>
    </w:p>
    <w:p w14:paraId="0F96CA0C" w14:textId="77777777" w:rsidR="00506E70" w:rsidRPr="00F96498" w:rsidRDefault="00506E70" w:rsidP="002B7914">
      <w:pPr>
        <w:ind w:left="567" w:right="386" w:hanging="567"/>
        <w:jc w:val="both"/>
      </w:pPr>
    </w:p>
    <w:p w14:paraId="26D1E01D" w14:textId="77777777" w:rsidR="00506E70" w:rsidRPr="00F96498" w:rsidRDefault="00506E70" w:rsidP="002B7914">
      <w:pPr>
        <w:ind w:left="567" w:right="386"/>
        <w:jc w:val="both"/>
        <w:rPr>
          <w:b/>
        </w:rPr>
      </w:pPr>
      <w:r w:rsidRPr="00F96498">
        <w:rPr>
          <w:b/>
        </w:rPr>
        <w:t>Legal Implications</w:t>
      </w:r>
    </w:p>
    <w:p w14:paraId="5C8F8363" w14:textId="77777777" w:rsidR="00506E70" w:rsidRPr="00F96498" w:rsidRDefault="00506E70" w:rsidP="002B7914">
      <w:pPr>
        <w:ind w:left="567" w:right="386" w:hanging="567"/>
        <w:jc w:val="both"/>
      </w:pPr>
    </w:p>
    <w:p w14:paraId="08B0586A" w14:textId="2DDBD7B7" w:rsidR="00506E70" w:rsidRPr="00F96498" w:rsidRDefault="008B0313" w:rsidP="002B7914">
      <w:pPr>
        <w:ind w:left="567" w:right="386" w:hanging="567"/>
        <w:jc w:val="both"/>
      </w:pPr>
      <w:r>
        <w:t>6</w:t>
      </w:r>
      <w:r w:rsidR="00BD0932">
        <w:t>0</w:t>
      </w:r>
      <w:r w:rsidR="003A6D59" w:rsidRPr="00F96498">
        <w:tab/>
      </w:r>
      <w:r w:rsidR="00DF0D5E" w:rsidRPr="00F96498">
        <w:t>The Council is required to set a balanced budget tak</w:t>
      </w:r>
      <w:r w:rsidR="004248C4">
        <w:t xml:space="preserve">ing </w:t>
      </w:r>
      <w:r w:rsidR="00DF0D5E" w:rsidRPr="00F96498">
        <w:t>account of working balances and any other available reserves before the commencement of the financial year to which it relates.</w:t>
      </w:r>
      <w:r w:rsidR="00BC5A4B" w:rsidRPr="00F96498">
        <w:t xml:space="preserve"> Consultation will be undertaken with the General Public for a period of 6 weeks in accordance with CIPFA Guidance.</w:t>
      </w:r>
    </w:p>
    <w:p w14:paraId="703CA01D" w14:textId="77777777" w:rsidR="00506E70" w:rsidRPr="00F96498" w:rsidRDefault="00506E70" w:rsidP="002B7914">
      <w:pPr>
        <w:ind w:left="567" w:right="386" w:hanging="567"/>
        <w:jc w:val="both"/>
      </w:pPr>
    </w:p>
    <w:p w14:paraId="60D76EEC" w14:textId="77777777" w:rsidR="00506E70" w:rsidRPr="00F96498" w:rsidRDefault="00184310" w:rsidP="002B7914">
      <w:pPr>
        <w:ind w:left="567" w:right="386" w:hanging="567"/>
        <w:jc w:val="both"/>
        <w:rPr>
          <w:b/>
        </w:rPr>
      </w:pPr>
      <w:r w:rsidRPr="00F96498">
        <w:rPr>
          <w:b/>
        </w:rPr>
        <w:tab/>
        <w:t>Ris</w:t>
      </w:r>
      <w:r w:rsidR="00506E70" w:rsidRPr="00F96498">
        <w:rPr>
          <w:b/>
        </w:rPr>
        <w:t>k Implications</w:t>
      </w:r>
    </w:p>
    <w:p w14:paraId="4B20B297" w14:textId="2BEE1308" w:rsidR="00B17F3A" w:rsidRPr="00F96498" w:rsidRDefault="00496A88" w:rsidP="002B7914">
      <w:pPr>
        <w:ind w:left="567" w:right="386" w:hanging="567"/>
        <w:jc w:val="both"/>
      </w:pPr>
      <w:r>
        <w:t>6</w:t>
      </w:r>
      <w:r w:rsidR="00BD0932">
        <w:t>1</w:t>
      </w:r>
      <w:r w:rsidR="00404471" w:rsidRPr="00F96498">
        <w:tab/>
      </w:r>
      <w:r w:rsidR="00B17F3A" w:rsidRPr="00F96498">
        <w:t xml:space="preserve">These are shown in Appendix </w:t>
      </w:r>
      <w:r w:rsidR="0059228F">
        <w:t>8</w:t>
      </w:r>
      <w:r w:rsidR="00B17F3A" w:rsidRPr="00F96498">
        <w:t xml:space="preserve"> of the report</w:t>
      </w:r>
    </w:p>
    <w:p w14:paraId="407034BB" w14:textId="77777777" w:rsidR="00506E70" w:rsidRPr="00F96498" w:rsidRDefault="00506E70" w:rsidP="002B7914">
      <w:pPr>
        <w:ind w:left="567" w:right="386" w:hanging="567"/>
        <w:jc w:val="both"/>
      </w:pPr>
    </w:p>
    <w:p w14:paraId="2BA3B6A9" w14:textId="77777777" w:rsidR="00404471" w:rsidRPr="00F96498" w:rsidRDefault="00404471" w:rsidP="002B7914">
      <w:pPr>
        <w:ind w:left="567" w:right="386" w:hanging="567"/>
        <w:jc w:val="both"/>
        <w:rPr>
          <w:b/>
        </w:rPr>
      </w:pPr>
      <w:r w:rsidRPr="00F96498">
        <w:tab/>
      </w:r>
      <w:r w:rsidRPr="00F96498">
        <w:rPr>
          <w:b/>
        </w:rPr>
        <w:t>Equalities Impact Assessment</w:t>
      </w:r>
    </w:p>
    <w:p w14:paraId="42A34B3C" w14:textId="77777777" w:rsidR="00404471" w:rsidRPr="00F96498" w:rsidRDefault="00404471" w:rsidP="002B7914">
      <w:pPr>
        <w:ind w:left="567" w:right="386" w:hanging="567"/>
        <w:jc w:val="both"/>
        <w:rPr>
          <w:b/>
        </w:rPr>
      </w:pPr>
    </w:p>
    <w:p w14:paraId="0D8A0E79" w14:textId="70FD5AB7" w:rsidR="00404471" w:rsidRPr="00F96498" w:rsidRDefault="00496A88" w:rsidP="002B7914">
      <w:pPr>
        <w:ind w:left="567" w:right="386" w:hanging="567"/>
        <w:jc w:val="both"/>
      </w:pPr>
      <w:r>
        <w:t>6</w:t>
      </w:r>
      <w:r w:rsidR="00BD0932">
        <w:t>2</w:t>
      </w:r>
      <w:r w:rsidR="00404471" w:rsidRPr="00F96498">
        <w:tab/>
        <w:t xml:space="preserve">These are shown in Appendix </w:t>
      </w:r>
      <w:r w:rsidR="0059228F">
        <w:t>9</w:t>
      </w:r>
      <w:r w:rsidR="00404471" w:rsidRPr="00F96498">
        <w:t xml:space="preserve"> of the report</w:t>
      </w:r>
    </w:p>
    <w:p w14:paraId="089893C7" w14:textId="77777777" w:rsidR="002B3BBA" w:rsidRDefault="002B3BBA" w:rsidP="003A0255">
      <w:pPr>
        <w:ind w:left="720" w:right="386"/>
        <w:jc w:val="both"/>
      </w:pPr>
    </w:p>
    <w:p w14:paraId="3584233E" w14:textId="77777777" w:rsidR="00C402E5" w:rsidRPr="00F96498" w:rsidRDefault="00C402E5" w:rsidP="003A0255">
      <w:pPr>
        <w:ind w:left="720" w:right="386"/>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F96498" w14:paraId="5890AB8D" w14:textId="77777777">
        <w:tc>
          <w:tcPr>
            <w:tcW w:w="8522" w:type="dxa"/>
          </w:tcPr>
          <w:p w14:paraId="6069DEAE" w14:textId="77777777" w:rsidR="00713675" w:rsidRPr="00F96498" w:rsidRDefault="00713675" w:rsidP="007C20F4">
            <w:pPr>
              <w:tabs>
                <w:tab w:val="left" w:pos="720"/>
                <w:tab w:val="left" w:pos="1440"/>
                <w:tab w:val="left" w:pos="2160"/>
                <w:tab w:val="left" w:pos="2880"/>
              </w:tabs>
              <w:ind w:right="386" w:firstLine="540"/>
              <w:rPr>
                <w:sz w:val="22"/>
                <w:szCs w:val="22"/>
              </w:rPr>
            </w:pPr>
            <w:r w:rsidRPr="00F96498">
              <w:rPr>
                <w:b/>
                <w:bCs/>
                <w:sz w:val="22"/>
                <w:szCs w:val="22"/>
              </w:rPr>
              <w:t>Name and contact details of author:-</w:t>
            </w:r>
          </w:p>
        </w:tc>
      </w:tr>
      <w:tr w:rsidR="00713675" w:rsidRPr="00F96498" w14:paraId="0A13B52A" w14:textId="77777777">
        <w:tc>
          <w:tcPr>
            <w:tcW w:w="8522" w:type="dxa"/>
          </w:tcPr>
          <w:p w14:paraId="4112211B" w14:textId="77777777" w:rsidR="00713675" w:rsidRPr="00F96498" w:rsidRDefault="00713675" w:rsidP="007C20F4">
            <w:pPr>
              <w:tabs>
                <w:tab w:val="left" w:pos="720"/>
                <w:tab w:val="left" w:pos="1440"/>
                <w:tab w:val="left" w:pos="2160"/>
                <w:tab w:val="left" w:pos="2880"/>
              </w:tabs>
              <w:ind w:right="386" w:firstLine="540"/>
            </w:pPr>
          </w:p>
          <w:p w14:paraId="6F8CDD53" w14:textId="77777777" w:rsidR="00713675" w:rsidRPr="00F96498" w:rsidRDefault="00713675" w:rsidP="007C20F4">
            <w:pPr>
              <w:tabs>
                <w:tab w:val="left" w:pos="720"/>
                <w:tab w:val="left" w:pos="1440"/>
                <w:tab w:val="left" w:pos="2160"/>
                <w:tab w:val="left" w:pos="2880"/>
              </w:tabs>
              <w:ind w:right="386" w:firstLine="540"/>
            </w:pPr>
            <w:r w:rsidRPr="00F96498">
              <w:t>Name</w:t>
            </w:r>
            <w:r w:rsidR="007A7044" w:rsidRPr="00F96498">
              <w:t xml:space="preserve">    :    Nigel Kennedy</w:t>
            </w:r>
          </w:p>
        </w:tc>
      </w:tr>
      <w:tr w:rsidR="00713675" w:rsidRPr="00F96498" w14:paraId="41A9FA51" w14:textId="77777777">
        <w:tc>
          <w:tcPr>
            <w:tcW w:w="8522" w:type="dxa"/>
          </w:tcPr>
          <w:p w14:paraId="3119B10D" w14:textId="77777777" w:rsidR="00713675" w:rsidRPr="00F96498" w:rsidRDefault="00713675" w:rsidP="007C20F4">
            <w:pPr>
              <w:tabs>
                <w:tab w:val="left" w:pos="720"/>
                <w:tab w:val="left" w:pos="1440"/>
                <w:tab w:val="left" w:pos="2160"/>
                <w:tab w:val="left" w:pos="2880"/>
              </w:tabs>
              <w:ind w:right="386" w:firstLine="540"/>
            </w:pPr>
            <w:r w:rsidRPr="00F96498">
              <w:t>Job title</w:t>
            </w:r>
            <w:r w:rsidR="007A7044" w:rsidRPr="00F96498">
              <w:t xml:space="preserve">   :  Head of Fina</w:t>
            </w:r>
            <w:r w:rsidR="00A17A6E" w:rsidRPr="00F96498">
              <w:t>ncial Services</w:t>
            </w:r>
          </w:p>
        </w:tc>
      </w:tr>
      <w:tr w:rsidR="00713675" w:rsidRPr="00F96498" w14:paraId="3AFF7288" w14:textId="77777777">
        <w:tc>
          <w:tcPr>
            <w:tcW w:w="8522" w:type="dxa"/>
          </w:tcPr>
          <w:p w14:paraId="30F4D0EA" w14:textId="77777777" w:rsidR="00713675" w:rsidRPr="00F96498" w:rsidRDefault="00713675" w:rsidP="007C20F4">
            <w:pPr>
              <w:tabs>
                <w:tab w:val="left" w:pos="720"/>
                <w:tab w:val="left" w:pos="1440"/>
                <w:tab w:val="left" w:pos="2160"/>
                <w:tab w:val="left" w:pos="2880"/>
              </w:tabs>
              <w:ind w:right="386" w:firstLine="540"/>
            </w:pPr>
            <w:r w:rsidRPr="00F96498">
              <w:t>Service Area / Department</w:t>
            </w:r>
            <w:r w:rsidR="007A7044" w:rsidRPr="00F96498">
              <w:t xml:space="preserve">   : Financ</w:t>
            </w:r>
            <w:r w:rsidR="00A17A6E" w:rsidRPr="00F96498">
              <w:t>ial Services</w:t>
            </w:r>
          </w:p>
        </w:tc>
      </w:tr>
      <w:tr w:rsidR="00713675" w:rsidRPr="00F96498" w14:paraId="5A7D4C63" w14:textId="77777777">
        <w:tc>
          <w:tcPr>
            <w:tcW w:w="8522" w:type="dxa"/>
          </w:tcPr>
          <w:p w14:paraId="74D996DB" w14:textId="77777777" w:rsidR="00713675" w:rsidRPr="00F96498" w:rsidRDefault="00713675" w:rsidP="007C20F4">
            <w:pPr>
              <w:tabs>
                <w:tab w:val="left" w:pos="720"/>
                <w:tab w:val="left" w:pos="1440"/>
                <w:tab w:val="left" w:pos="2160"/>
                <w:tab w:val="left" w:pos="2880"/>
              </w:tabs>
              <w:ind w:right="386" w:firstLine="540"/>
              <w:rPr>
                <w:color w:val="0000FF"/>
                <w:u w:val="single"/>
              </w:rPr>
            </w:pPr>
            <w:r w:rsidRPr="00F96498">
              <w:t xml:space="preserve">Tel:  01865 </w:t>
            </w:r>
            <w:r w:rsidR="007A7044" w:rsidRPr="00F96498">
              <w:t>252708</w:t>
            </w:r>
            <w:r w:rsidRPr="00F96498">
              <w:t xml:space="preserve">  e-mail:</w:t>
            </w:r>
            <w:r w:rsidR="007A7044" w:rsidRPr="00F96498">
              <w:t xml:space="preserve">   nkennedy@oxford.gov.uk</w:t>
            </w:r>
            <w:r w:rsidRPr="00F96498">
              <w:t xml:space="preserve">  </w:t>
            </w:r>
          </w:p>
        </w:tc>
      </w:tr>
    </w:tbl>
    <w:p w14:paraId="13E8637C" w14:textId="77777777" w:rsidR="00F4367A" w:rsidRPr="00F96498" w:rsidRDefault="00F4367A" w:rsidP="007C20F4">
      <w:pPr>
        <w:ind w:right="386" w:firstLine="540"/>
        <w:rPr>
          <w:rFonts w:cs="Arial"/>
          <w:b/>
          <w:bCs/>
          <w:sz w:val="22"/>
          <w:szCs w:val="22"/>
        </w:rPr>
      </w:pPr>
    </w:p>
    <w:p w14:paraId="553D46A4" w14:textId="1D50C9C1" w:rsidR="00F4367A" w:rsidRPr="00F96498" w:rsidRDefault="00F4367A" w:rsidP="007C20F4">
      <w:pPr>
        <w:ind w:right="386" w:firstLine="540"/>
        <w:rPr>
          <w:rFonts w:cs="Arial"/>
          <w:b/>
          <w:bCs/>
          <w:sz w:val="22"/>
          <w:szCs w:val="22"/>
        </w:rPr>
      </w:pPr>
      <w:r w:rsidRPr="00F96498">
        <w:rPr>
          <w:rFonts w:cs="Arial"/>
          <w:b/>
          <w:bCs/>
          <w:sz w:val="22"/>
          <w:szCs w:val="22"/>
        </w:rPr>
        <w:t xml:space="preserve">List of background papers: </w:t>
      </w:r>
      <w:r w:rsidR="007E356F">
        <w:rPr>
          <w:rFonts w:cs="Arial"/>
          <w:b/>
          <w:bCs/>
          <w:sz w:val="22"/>
          <w:szCs w:val="22"/>
        </w:rPr>
        <w:t xml:space="preserve"> None</w:t>
      </w:r>
    </w:p>
    <w:p w14:paraId="2ACBDD11" w14:textId="3F58AFD4" w:rsidR="00F4367A" w:rsidRPr="00FC3A80" w:rsidRDefault="00F4367A" w:rsidP="007C20F4">
      <w:pPr>
        <w:ind w:right="386" w:firstLine="540"/>
        <w:rPr>
          <w:b/>
          <w:bCs/>
          <w:sz w:val="22"/>
          <w:szCs w:val="22"/>
        </w:rPr>
      </w:pPr>
    </w:p>
    <w:sectPr w:rsidR="00F4367A" w:rsidRPr="00FC3A80" w:rsidSect="00BF08ED">
      <w:footerReference w:type="default" r:id="rId11"/>
      <w:pgSz w:w="11906" w:h="16838"/>
      <w:pgMar w:top="1440" w:right="720" w:bottom="1440" w:left="1440" w:header="708" w:footer="63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C80702" w15:done="0"/>
  <w15:commentEx w15:paraId="306C218C" w15:done="0"/>
  <w15:commentEx w15:paraId="122BB203" w15:done="0"/>
  <w15:commentEx w15:paraId="3CF70C70" w15:done="0"/>
  <w15:commentEx w15:paraId="1D023148" w15:done="0"/>
  <w15:commentEx w15:paraId="091409C5" w15:done="0"/>
  <w15:commentEx w15:paraId="57F7A1A3" w15:done="0"/>
  <w15:commentEx w15:paraId="0339FA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DBB08" w14:textId="77777777" w:rsidR="009172F5" w:rsidRDefault="009172F5">
      <w:r>
        <w:separator/>
      </w:r>
    </w:p>
  </w:endnote>
  <w:endnote w:type="continuationSeparator" w:id="0">
    <w:p w14:paraId="655829E3" w14:textId="77777777" w:rsidR="009172F5" w:rsidRDefault="0091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S Me">
    <w:altName w:val="FS Me"/>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80DD" w14:textId="102B2D90" w:rsidR="009172F5" w:rsidRPr="001D016D" w:rsidRDefault="009172F5" w:rsidP="001D016D">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51896" w14:textId="77777777" w:rsidR="009172F5" w:rsidRDefault="009172F5">
      <w:r>
        <w:separator/>
      </w:r>
    </w:p>
  </w:footnote>
  <w:footnote w:type="continuationSeparator" w:id="0">
    <w:p w14:paraId="6C1ED9FF" w14:textId="77777777" w:rsidR="009172F5" w:rsidRDefault="00917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B2F"/>
    <w:multiLevelType w:val="hybridMultilevel"/>
    <w:tmpl w:val="EE0CE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6AD4372"/>
    <w:multiLevelType w:val="hybridMultilevel"/>
    <w:tmpl w:val="70CE0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F32D56"/>
    <w:multiLevelType w:val="hybridMultilevel"/>
    <w:tmpl w:val="10CC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C51EC"/>
    <w:multiLevelType w:val="hybridMultilevel"/>
    <w:tmpl w:val="FED03DB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0FBE2D04"/>
    <w:multiLevelType w:val="hybridMultilevel"/>
    <w:tmpl w:val="6B3C66B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0CD4BC4"/>
    <w:multiLevelType w:val="hybridMultilevel"/>
    <w:tmpl w:val="BE229DEE"/>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nsid w:val="12BA1F19"/>
    <w:multiLevelType w:val="hybridMultilevel"/>
    <w:tmpl w:val="73F6289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nsid w:val="192710A6"/>
    <w:multiLevelType w:val="hybridMultilevel"/>
    <w:tmpl w:val="8D9AE8F2"/>
    <w:lvl w:ilvl="0" w:tplc="545482A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63255F"/>
    <w:multiLevelType w:val="hybridMultilevel"/>
    <w:tmpl w:val="C7BE7C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1C4705A3"/>
    <w:multiLevelType w:val="hybridMultilevel"/>
    <w:tmpl w:val="A7CA9AAA"/>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D80003F"/>
    <w:multiLevelType w:val="hybridMultilevel"/>
    <w:tmpl w:val="3A7891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nsid w:val="275E0A09"/>
    <w:multiLevelType w:val="hybridMultilevel"/>
    <w:tmpl w:val="4D0C1C6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nsid w:val="2D612B2F"/>
    <w:multiLevelType w:val="hybridMultilevel"/>
    <w:tmpl w:val="BDDE73B4"/>
    <w:lvl w:ilvl="0" w:tplc="3118E5A6">
      <w:start w:val="11"/>
      <w:numFmt w:val="lowerLetter"/>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2DBB2DEF"/>
    <w:multiLevelType w:val="hybridMultilevel"/>
    <w:tmpl w:val="AF54A32E"/>
    <w:lvl w:ilvl="0" w:tplc="08090001">
      <w:start w:val="1"/>
      <w:numFmt w:val="bullet"/>
      <w:lvlText w:val=""/>
      <w:lvlJc w:val="left"/>
      <w:pPr>
        <w:ind w:left="2466" w:hanging="360"/>
      </w:pPr>
      <w:rPr>
        <w:rFonts w:ascii="Symbol" w:hAnsi="Symbol" w:hint="default"/>
      </w:rPr>
    </w:lvl>
    <w:lvl w:ilvl="1" w:tplc="08090003" w:tentative="1">
      <w:start w:val="1"/>
      <w:numFmt w:val="bullet"/>
      <w:lvlText w:val="o"/>
      <w:lvlJc w:val="left"/>
      <w:pPr>
        <w:ind w:left="3186" w:hanging="360"/>
      </w:pPr>
      <w:rPr>
        <w:rFonts w:ascii="Courier New" w:hAnsi="Courier New" w:cs="Courier New" w:hint="default"/>
      </w:rPr>
    </w:lvl>
    <w:lvl w:ilvl="2" w:tplc="08090005" w:tentative="1">
      <w:start w:val="1"/>
      <w:numFmt w:val="bullet"/>
      <w:lvlText w:val=""/>
      <w:lvlJc w:val="left"/>
      <w:pPr>
        <w:ind w:left="3906" w:hanging="360"/>
      </w:pPr>
      <w:rPr>
        <w:rFonts w:ascii="Wingdings" w:hAnsi="Wingdings" w:hint="default"/>
      </w:rPr>
    </w:lvl>
    <w:lvl w:ilvl="3" w:tplc="08090001" w:tentative="1">
      <w:start w:val="1"/>
      <w:numFmt w:val="bullet"/>
      <w:lvlText w:val=""/>
      <w:lvlJc w:val="left"/>
      <w:pPr>
        <w:ind w:left="4626" w:hanging="360"/>
      </w:pPr>
      <w:rPr>
        <w:rFonts w:ascii="Symbol" w:hAnsi="Symbol" w:hint="default"/>
      </w:rPr>
    </w:lvl>
    <w:lvl w:ilvl="4" w:tplc="08090003" w:tentative="1">
      <w:start w:val="1"/>
      <w:numFmt w:val="bullet"/>
      <w:lvlText w:val="o"/>
      <w:lvlJc w:val="left"/>
      <w:pPr>
        <w:ind w:left="5346" w:hanging="360"/>
      </w:pPr>
      <w:rPr>
        <w:rFonts w:ascii="Courier New" w:hAnsi="Courier New" w:cs="Courier New" w:hint="default"/>
      </w:rPr>
    </w:lvl>
    <w:lvl w:ilvl="5" w:tplc="08090005" w:tentative="1">
      <w:start w:val="1"/>
      <w:numFmt w:val="bullet"/>
      <w:lvlText w:val=""/>
      <w:lvlJc w:val="left"/>
      <w:pPr>
        <w:ind w:left="6066" w:hanging="360"/>
      </w:pPr>
      <w:rPr>
        <w:rFonts w:ascii="Wingdings" w:hAnsi="Wingdings" w:hint="default"/>
      </w:rPr>
    </w:lvl>
    <w:lvl w:ilvl="6" w:tplc="08090001" w:tentative="1">
      <w:start w:val="1"/>
      <w:numFmt w:val="bullet"/>
      <w:lvlText w:val=""/>
      <w:lvlJc w:val="left"/>
      <w:pPr>
        <w:ind w:left="6786" w:hanging="360"/>
      </w:pPr>
      <w:rPr>
        <w:rFonts w:ascii="Symbol" w:hAnsi="Symbol" w:hint="default"/>
      </w:rPr>
    </w:lvl>
    <w:lvl w:ilvl="7" w:tplc="08090003" w:tentative="1">
      <w:start w:val="1"/>
      <w:numFmt w:val="bullet"/>
      <w:lvlText w:val="o"/>
      <w:lvlJc w:val="left"/>
      <w:pPr>
        <w:ind w:left="7506" w:hanging="360"/>
      </w:pPr>
      <w:rPr>
        <w:rFonts w:ascii="Courier New" w:hAnsi="Courier New" w:cs="Courier New" w:hint="default"/>
      </w:rPr>
    </w:lvl>
    <w:lvl w:ilvl="8" w:tplc="08090005" w:tentative="1">
      <w:start w:val="1"/>
      <w:numFmt w:val="bullet"/>
      <w:lvlText w:val=""/>
      <w:lvlJc w:val="left"/>
      <w:pPr>
        <w:ind w:left="8226" w:hanging="360"/>
      </w:pPr>
      <w:rPr>
        <w:rFonts w:ascii="Wingdings" w:hAnsi="Wingdings" w:hint="default"/>
      </w:rPr>
    </w:lvl>
  </w:abstractNum>
  <w:abstractNum w:abstractNumId="14">
    <w:nsid w:val="30DA4E1A"/>
    <w:multiLevelType w:val="hybridMultilevel"/>
    <w:tmpl w:val="1B68BE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69F41E7"/>
    <w:multiLevelType w:val="hybridMultilevel"/>
    <w:tmpl w:val="03F4E7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39164946"/>
    <w:multiLevelType w:val="hybridMultilevel"/>
    <w:tmpl w:val="B4F0C962"/>
    <w:lvl w:ilvl="0" w:tplc="50789FE0">
      <w:start w:val="12"/>
      <w:numFmt w:val="lowerLetter"/>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3CA429D5"/>
    <w:multiLevelType w:val="hybridMultilevel"/>
    <w:tmpl w:val="ED66E38A"/>
    <w:lvl w:ilvl="0" w:tplc="C67894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3D9A73B2"/>
    <w:multiLevelType w:val="hybridMultilevel"/>
    <w:tmpl w:val="9F5E84C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nsid w:val="3F683BAC"/>
    <w:multiLevelType w:val="hybridMultilevel"/>
    <w:tmpl w:val="5EF66188"/>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34D12E0"/>
    <w:multiLevelType w:val="hybridMultilevel"/>
    <w:tmpl w:val="B95210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42F77BB"/>
    <w:multiLevelType w:val="hybridMultilevel"/>
    <w:tmpl w:val="4B2EA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89664CF"/>
    <w:multiLevelType w:val="hybridMultilevel"/>
    <w:tmpl w:val="8938CA9C"/>
    <w:lvl w:ilvl="0" w:tplc="9F62181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E4668A"/>
    <w:multiLevelType w:val="hybridMultilevel"/>
    <w:tmpl w:val="055AB45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4">
    <w:nsid w:val="4A101A7E"/>
    <w:multiLevelType w:val="hybridMultilevel"/>
    <w:tmpl w:val="87C63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DF5846"/>
    <w:multiLevelType w:val="hybridMultilevel"/>
    <w:tmpl w:val="0DA01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6">
    <w:nsid w:val="51E87D6B"/>
    <w:multiLevelType w:val="hybridMultilevel"/>
    <w:tmpl w:val="87CC30F4"/>
    <w:lvl w:ilvl="0" w:tplc="7DEC69AC">
      <w:start w:val="1"/>
      <w:numFmt w:val="lowerLetter"/>
      <w:lvlText w:val="%1)"/>
      <w:lvlJc w:val="left"/>
      <w:pPr>
        <w:tabs>
          <w:tab w:val="num" w:pos="2629"/>
        </w:tabs>
        <w:ind w:left="2629" w:hanging="360"/>
      </w:pPr>
      <w:rPr>
        <w:rFonts w:ascii="Arial" w:eastAsia="Times New Roman" w:hAnsi="Arial" w:cs="Times New Roman"/>
        <w:sz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5AB50DDF"/>
    <w:multiLevelType w:val="hybridMultilevel"/>
    <w:tmpl w:val="B3C8942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8">
    <w:nsid w:val="5BEC2567"/>
    <w:multiLevelType w:val="hybridMultilevel"/>
    <w:tmpl w:val="55B2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226B22"/>
    <w:multiLevelType w:val="hybridMultilevel"/>
    <w:tmpl w:val="92C2895A"/>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0">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31">
    <w:nsid w:val="6B002964"/>
    <w:multiLevelType w:val="hybridMultilevel"/>
    <w:tmpl w:val="87729E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B881EEF"/>
    <w:multiLevelType w:val="hybridMultilevel"/>
    <w:tmpl w:val="73B6AD18"/>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6C0706F0"/>
    <w:multiLevelType w:val="hybridMultilevel"/>
    <w:tmpl w:val="F0D23A1A"/>
    <w:lvl w:ilvl="0" w:tplc="DE1803A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E317E4"/>
    <w:multiLevelType w:val="hybridMultilevel"/>
    <w:tmpl w:val="5AE0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D4F37D8"/>
    <w:multiLevelType w:val="hybridMultilevel"/>
    <w:tmpl w:val="BDAAAB5E"/>
    <w:lvl w:ilvl="0" w:tplc="69C4F4F4">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nsid w:val="6E807BD7"/>
    <w:multiLevelType w:val="hybridMultilevel"/>
    <w:tmpl w:val="6DD02E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74A822A5"/>
    <w:multiLevelType w:val="hybridMultilevel"/>
    <w:tmpl w:val="898C209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7D0443DF"/>
    <w:multiLevelType w:val="hybridMultilevel"/>
    <w:tmpl w:val="4E1E589A"/>
    <w:lvl w:ilvl="0" w:tplc="A3C42AE8">
      <w:start w:val="1"/>
      <w:numFmt w:val="lowerLetter"/>
      <w:lvlText w:val="%1)"/>
      <w:lvlJc w:val="left"/>
      <w:pPr>
        <w:ind w:left="1080" w:hanging="360"/>
      </w:pPr>
      <w:rPr>
        <w:rFonts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D103438"/>
    <w:multiLevelType w:val="hybridMultilevel"/>
    <w:tmpl w:val="1DC42BC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nsid w:val="7D1C6785"/>
    <w:multiLevelType w:val="hybridMultilevel"/>
    <w:tmpl w:val="61D8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BE66CA"/>
    <w:multiLevelType w:val="hybridMultilevel"/>
    <w:tmpl w:val="C074BC90"/>
    <w:lvl w:ilvl="0" w:tplc="6AFCDC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35"/>
  </w:num>
  <w:num w:numId="4">
    <w:abstractNumId w:val="32"/>
  </w:num>
  <w:num w:numId="5">
    <w:abstractNumId w:val="29"/>
  </w:num>
  <w:num w:numId="6">
    <w:abstractNumId w:val="13"/>
  </w:num>
  <w:num w:numId="7">
    <w:abstractNumId w:val="4"/>
  </w:num>
  <w:num w:numId="8">
    <w:abstractNumId w:val="3"/>
  </w:num>
  <w:num w:numId="9">
    <w:abstractNumId w:val="30"/>
  </w:num>
  <w:num w:numId="10">
    <w:abstractNumId w:val="19"/>
  </w:num>
  <w:num w:numId="11">
    <w:abstractNumId w:val="34"/>
  </w:num>
  <w:num w:numId="12">
    <w:abstractNumId w:val="21"/>
  </w:num>
  <w:num w:numId="13">
    <w:abstractNumId w:val="23"/>
  </w:num>
  <w:num w:numId="14">
    <w:abstractNumId w:val="37"/>
  </w:num>
  <w:num w:numId="15">
    <w:abstractNumId w:val="16"/>
  </w:num>
  <w:num w:numId="16">
    <w:abstractNumId w:val="28"/>
  </w:num>
  <w:num w:numId="17">
    <w:abstractNumId w:val="31"/>
  </w:num>
  <w:num w:numId="18">
    <w:abstractNumId w:val="17"/>
  </w:num>
  <w:num w:numId="19">
    <w:abstractNumId w:val="10"/>
  </w:num>
  <w:num w:numId="20">
    <w:abstractNumId w:val="25"/>
  </w:num>
  <w:num w:numId="21">
    <w:abstractNumId w:val="40"/>
  </w:num>
  <w:num w:numId="22">
    <w:abstractNumId w:val="39"/>
  </w:num>
  <w:num w:numId="23">
    <w:abstractNumId w:val="27"/>
  </w:num>
  <w:num w:numId="24">
    <w:abstractNumId w:val="11"/>
  </w:num>
  <w:num w:numId="25">
    <w:abstractNumId w:val="18"/>
  </w:num>
  <w:num w:numId="26">
    <w:abstractNumId w:val="14"/>
  </w:num>
  <w:num w:numId="27">
    <w:abstractNumId w:val="20"/>
  </w:num>
  <w:num w:numId="28">
    <w:abstractNumId w:val="7"/>
  </w:num>
  <w:num w:numId="29">
    <w:abstractNumId w:val="8"/>
  </w:num>
  <w:num w:numId="30">
    <w:abstractNumId w:val="36"/>
  </w:num>
  <w:num w:numId="31">
    <w:abstractNumId w:val="0"/>
  </w:num>
  <w:num w:numId="32">
    <w:abstractNumId w:val="1"/>
  </w:num>
  <w:num w:numId="33">
    <w:abstractNumId w:val="24"/>
  </w:num>
  <w:num w:numId="34">
    <w:abstractNumId w:val="2"/>
  </w:num>
  <w:num w:numId="35">
    <w:abstractNumId w:val="41"/>
  </w:num>
  <w:num w:numId="36">
    <w:abstractNumId w:val="5"/>
  </w:num>
  <w:num w:numId="37">
    <w:abstractNumId w:val="33"/>
  </w:num>
  <w:num w:numId="38">
    <w:abstractNumId w:val="22"/>
  </w:num>
  <w:num w:numId="39">
    <w:abstractNumId w:val="15"/>
  </w:num>
  <w:num w:numId="40">
    <w:abstractNumId w:val="6"/>
  </w:num>
  <w:num w:numId="41">
    <w:abstractNumId w:val="38"/>
  </w:num>
  <w:num w:numId="42">
    <w:abstractNumId w:val="1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Ed">
    <w15:presenceInfo w15:providerId="AD" w15:userId="S-1-5-21-494842029-2985525290-4291120034-5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121"/>
    <w:rsid w:val="00000801"/>
    <w:rsid w:val="00000EAF"/>
    <w:rsid w:val="00001F53"/>
    <w:rsid w:val="000026E1"/>
    <w:rsid w:val="00002818"/>
    <w:rsid w:val="00002ACC"/>
    <w:rsid w:val="00003F37"/>
    <w:rsid w:val="00004448"/>
    <w:rsid w:val="0000468F"/>
    <w:rsid w:val="00004FC3"/>
    <w:rsid w:val="00005687"/>
    <w:rsid w:val="00006CD9"/>
    <w:rsid w:val="0000772B"/>
    <w:rsid w:val="00010588"/>
    <w:rsid w:val="00011F07"/>
    <w:rsid w:val="0001206E"/>
    <w:rsid w:val="000120B5"/>
    <w:rsid w:val="0001377A"/>
    <w:rsid w:val="000148E2"/>
    <w:rsid w:val="00014AC3"/>
    <w:rsid w:val="00014CCE"/>
    <w:rsid w:val="00014D43"/>
    <w:rsid w:val="00015264"/>
    <w:rsid w:val="0001589B"/>
    <w:rsid w:val="00016AF4"/>
    <w:rsid w:val="00017261"/>
    <w:rsid w:val="00017EC1"/>
    <w:rsid w:val="0002042E"/>
    <w:rsid w:val="0002084D"/>
    <w:rsid w:val="00022FE4"/>
    <w:rsid w:val="00023C36"/>
    <w:rsid w:val="00026D0F"/>
    <w:rsid w:val="00026D54"/>
    <w:rsid w:val="00032DD3"/>
    <w:rsid w:val="00036B31"/>
    <w:rsid w:val="000374C3"/>
    <w:rsid w:val="0003781E"/>
    <w:rsid w:val="00037D09"/>
    <w:rsid w:val="000409F1"/>
    <w:rsid w:val="00040FE0"/>
    <w:rsid w:val="0004116B"/>
    <w:rsid w:val="00041DBF"/>
    <w:rsid w:val="000433C7"/>
    <w:rsid w:val="0004668D"/>
    <w:rsid w:val="00046ACD"/>
    <w:rsid w:val="000500E3"/>
    <w:rsid w:val="000515AC"/>
    <w:rsid w:val="00052F09"/>
    <w:rsid w:val="0005334B"/>
    <w:rsid w:val="000548A5"/>
    <w:rsid w:val="0005525B"/>
    <w:rsid w:val="000552C7"/>
    <w:rsid w:val="00056263"/>
    <w:rsid w:val="00056945"/>
    <w:rsid w:val="00056DFB"/>
    <w:rsid w:val="00061569"/>
    <w:rsid w:val="00061CDD"/>
    <w:rsid w:val="00064089"/>
    <w:rsid w:val="000651D3"/>
    <w:rsid w:val="00065297"/>
    <w:rsid w:val="000670D8"/>
    <w:rsid w:val="000675DC"/>
    <w:rsid w:val="00071B82"/>
    <w:rsid w:val="00071E87"/>
    <w:rsid w:val="00072E78"/>
    <w:rsid w:val="00073637"/>
    <w:rsid w:val="00073CCA"/>
    <w:rsid w:val="00074897"/>
    <w:rsid w:val="00075169"/>
    <w:rsid w:val="00076698"/>
    <w:rsid w:val="000851F2"/>
    <w:rsid w:val="0008606E"/>
    <w:rsid w:val="00086317"/>
    <w:rsid w:val="0008651B"/>
    <w:rsid w:val="00086EBA"/>
    <w:rsid w:val="00087185"/>
    <w:rsid w:val="000909AE"/>
    <w:rsid w:val="0009116B"/>
    <w:rsid w:val="000911F3"/>
    <w:rsid w:val="00091D62"/>
    <w:rsid w:val="00094D1E"/>
    <w:rsid w:val="00094E55"/>
    <w:rsid w:val="00095D72"/>
    <w:rsid w:val="0009616E"/>
    <w:rsid w:val="00096BAD"/>
    <w:rsid w:val="000973F8"/>
    <w:rsid w:val="0009753F"/>
    <w:rsid w:val="00097D70"/>
    <w:rsid w:val="00097FFC"/>
    <w:rsid w:val="000A0E93"/>
    <w:rsid w:val="000A1460"/>
    <w:rsid w:val="000A18C0"/>
    <w:rsid w:val="000A2BAF"/>
    <w:rsid w:val="000A4CA2"/>
    <w:rsid w:val="000A731F"/>
    <w:rsid w:val="000B173D"/>
    <w:rsid w:val="000B17F5"/>
    <w:rsid w:val="000B1DBE"/>
    <w:rsid w:val="000B26A3"/>
    <w:rsid w:val="000B3050"/>
    <w:rsid w:val="000B366D"/>
    <w:rsid w:val="000B3A12"/>
    <w:rsid w:val="000B44CB"/>
    <w:rsid w:val="000B790A"/>
    <w:rsid w:val="000C0708"/>
    <w:rsid w:val="000C0D51"/>
    <w:rsid w:val="000C11C5"/>
    <w:rsid w:val="000C143A"/>
    <w:rsid w:val="000C34F2"/>
    <w:rsid w:val="000C480C"/>
    <w:rsid w:val="000C4C6F"/>
    <w:rsid w:val="000C5168"/>
    <w:rsid w:val="000C56AB"/>
    <w:rsid w:val="000C5CA1"/>
    <w:rsid w:val="000C7969"/>
    <w:rsid w:val="000D3698"/>
    <w:rsid w:val="000D3814"/>
    <w:rsid w:val="000D4044"/>
    <w:rsid w:val="000D4065"/>
    <w:rsid w:val="000D4472"/>
    <w:rsid w:val="000D6B54"/>
    <w:rsid w:val="000D7025"/>
    <w:rsid w:val="000D75E5"/>
    <w:rsid w:val="000E1129"/>
    <w:rsid w:val="000E4F2D"/>
    <w:rsid w:val="000E5A24"/>
    <w:rsid w:val="000F32AB"/>
    <w:rsid w:val="000F51FB"/>
    <w:rsid w:val="000F525A"/>
    <w:rsid w:val="000F5AB8"/>
    <w:rsid w:val="000F7425"/>
    <w:rsid w:val="000F74A3"/>
    <w:rsid w:val="000F7BF7"/>
    <w:rsid w:val="001005F5"/>
    <w:rsid w:val="00101448"/>
    <w:rsid w:val="00102CFD"/>
    <w:rsid w:val="0010339A"/>
    <w:rsid w:val="0010402D"/>
    <w:rsid w:val="0010427B"/>
    <w:rsid w:val="00106D5B"/>
    <w:rsid w:val="00107DF2"/>
    <w:rsid w:val="00111A9E"/>
    <w:rsid w:val="00111ACB"/>
    <w:rsid w:val="00115150"/>
    <w:rsid w:val="001167B2"/>
    <w:rsid w:val="00121B5A"/>
    <w:rsid w:val="00123FCB"/>
    <w:rsid w:val="00124796"/>
    <w:rsid w:val="00124BC9"/>
    <w:rsid w:val="0013139E"/>
    <w:rsid w:val="00131907"/>
    <w:rsid w:val="00132E38"/>
    <w:rsid w:val="0013316B"/>
    <w:rsid w:val="00133CFB"/>
    <w:rsid w:val="00133F0E"/>
    <w:rsid w:val="00135B22"/>
    <w:rsid w:val="00136D03"/>
    <w:rsid w:val="00137B85"/>
    <w:rsid w:val="001416DD"/>
    <w:rsid w:val="001439EB"/>
    <w:rsid w:val="001447C4"/>
    <w:rsid w:val="00144F8E"/>
    <w:rsid w:val="001450E0"/>
    <w:rsid w:val="001450F5"/>
    <w:rsid w:val="00145219"/>
    <w:rsid w:val="00147B5A"/>
    <w:rsid w:val="00147DDB"/>
    <w:rsid w:val="0015024A"/>
    <w:rsid w:val="00150735"/>
    <w:rsid w:val="001509CB"/>
    <w:rsid w:val="00152E53"/>
    <w:rsid w:val="0015339C"/>
    <w:rsid w:val="00153780"/>
    <w:rsid w:val="00153D29"/>
    <w:rsid w:val="001543E6"/>
    <w:rsid w:val="00156624"/>
    <w:rsid w:val="00157316"/>
    <w:rsid w:val="00157FF8"/>
    <w:rsid w:val="0016020C"/>
    <w:rsid w:val="001606EC"/>
    <w:rsid w:val="001626FF"/>
    <w:rsid w:val="00163E6D"/>
    <w:rsid w:val="00164388"/>
    <w:rsid w:val="001643B0"/>
    <w:rsid w:val="001656EE"/>
    <w:rsid w:val="00165A9E"/>
    <w:rsid w:val="00166E93"/>
    <w:rsid w:val="00167B6A"/>
    <w:rsid w:val="001701DE"/>
    <w:rsid w:val="00170E22"/>
    <w:rsid w:val="001718F2"/>
    <w:rsid w:val="0017223A"/>
    <w:rsid w:val="00175F14"/>
    <w:rsid w:val="00177F3E"/>
    <w:rsid w:val="001810E8"/>
    <w:rsid w:val="0018345C"/>
    <w:rsid w:val="00183BCD"/>
    <w:rsid w:val="00184310"/>
    <w:rsid w:val="00185787"/>
    <w:rsid w:val="00186C0A"/>
    <w:rsid w:val="0018734E"/>
    <w:rsid w:val="00190022"/>
    <w:rsid w:val="00190B23"/>
    <w:rsid w:val="00190E00"/>
    <w:rsid w:val="001913B3"/>
    <w:rsid w:val="00192E72"/>
    <w:rsid w:val="00193ACD"/>
    <w:rsid w:val="00193D5F"/>
    <w:rsid w:val="001945A0"/>
    <w:rsid w:val="00194A39"/>
    <w:rsid w:val="0019639E"/>
    <w:rsid w:val="001A0059"/>
    <w:rsid w:val="001A30D1"/>
    <w:rsid w:val="001A43DD"/>
    <w:rsid w:val="001A54CF"/>
    <w:rsid w:val="001A7147"/>
    <w:rsid w:val="001A7422"/>
    <w:rsid w:val="001B0A3E"/>
    <w:rsid w:val="001B1636"/>
    <w:rsid w:val="001B26E2"/>
    <w:rsid w:val="001B4707"/>
    <w:rsid w:val="001B4B87"/>
    <w:rsid w:val="001B50E3"/>
    <w:rsid w:val="001B5807"/>
    <w:rsid w:val="001B64A3"/>
    <w:rsid w:val="001C5D62"/>
    <w:rsid w:val="001C5E0F"/>
    <w:rsid w:val="001C5E3F"/>
    <w:rsid w:val="001C6317"/>
    <w:rsid w:val="001D016D"/>
    <w:rsid w:val="001D0B6E"/>
    <w:rsid w:val="001D1F21"/>
    <w:rsid w:val="001D24FF"/>
    <w:rsid w:val="001D265F"/>
    <w:rsid w:val="001D46FA"/>
    <w:rsid w:val="001E12E1"/>
    <w:rsid w:val="001E143D"/>
    <w:rsid w:val="001E14DA"/>
    <w:rsid w:val="001E172C"/>
    <w:rsid w:val="001E18BE"/>
    <w:rsid w:val="001E1E2E"/>
    <w:rsid w:val="001E2842"/>
    <w:rsid w:val="001E5709"/>
    <w:rsid w:val="001E5917"/>
    <w:rsid w:val="001F09D5"/>
    <w:rsid w:val="001F26D7"/>
    <w:rsid w:val="001F439F"/>
    <w:rsid w:val="001F4588"/>
    <w:rsid w:val="001F51DF"/>
    <w:rsid w:val="001F5CFF"/>
    <w:rsid w:val="00200AA0"/>
    <w:rsid w:val="00200E6E"/>
    <w:rsid w:val="002011A1"/>
    <w:rsid w:val="00201D70"/>
    <w:rsid w:val="002023A0"/>
    <w:rsid w:val="00203A65"/>
    <w:rsid w:val="002063F7"/>
    <w:rsid w:val="0020684F"/>
    <w:rsid w:val="00206E13"/>
    <w:rsid w:val="002073BE"/>
    <w:rsid w:val="002104DE"/>
    <w:rsid w:val="0021064C"/>
    <w:rsid w:val="00210683"/>
    <w:rsid w:val="00210E59"/>
    <w:rsid w:val="00210EF8"/>
    <w:rsid w:val="00212B89"/>
    <w:rsid w:val="002146DC"/>
    <w:rsid w:val="0021524C"/>
    <w:rsid w:val="0021658F"/>
    <w:rsid w:val="0021676D"/>
    <w:rsid w:val="0021693F"/>
    <w:rsid w:val="00222D20"/>
    <w:rsid w:val="00225045"/>
    <w:rsid w:val="00225ADA"/>
    <w:rsid w:val="00225C59"/>
    <w:rsid w:val="00227495"/>
    <w:rsid w:val="00227A02"/>
    <w:rsid w:val="00227B6B"/>
    <w:rsid w:val="00227E30"/>
    <w:rsid w:val="00230A3A"/>
    <w:rsid w:val="00232487"/>
    <w:rsid w:val="00232636"/>
    <w:rsid w:val="00232EDE"/>
    <w:rsid w:val="00233056"/>
    <w:rsid w:val="00233862"/>
    <w:rsid w:val="00234B0F"/>
    <w:rsid w:val="00235508"/>
    <w:rsid w:val="002367CC"/>
    <w:rsid w:val="00237C80"/>
    <w:rsid w:val="0024028E"/>
    <w:rsid w:val="00240C1D"/>
    <w:rsid w:val="0024181A"/>
    <w:rsid w:val="00242A68"/>
    <w:rsid w:val="002436CF"/>
    <w:rsid w:val="002441B3"/>
    <w:rsid w:val="00244A22"/>
    <w:rsid w:val="00244F3E"/>
    <w:rsid w:val="002451B9"/>
    <w:rsid w:val="002468A6"/>
    <w:rsid w:val="0025018C"/>
    <w:rsid w:val="002507A0"/>
    <w:rsid w:val="00251FED"/>
    <w:rsid w:val="0025200E"/>
    <w:rsid w:val="002524B1"/>
    <w:rsid w:val="002532F3"/>
    <w:rsid w:val="00253A32"/>
    <w:rsid w:val="00254CEB"/>
    <w:rsid w:val="00255DB0"/>
    <w:rsid w:val="002562AD"/>
    <w:rsid w:val="00256692"/>
    <w:rsid w:val="002649E1"/>
    <w:rsid w:val="0027012B"/>
    <w:rsid w:val="00270C71"/>
    <w:rsid w:val="00270DA7"/>
    <w:rsid w:val="002719F1"/>
    <w:rsid w:val="00272551"/>
    <w:rsid w:val="00277E4B"/>
    <w:rsid w:val="002801CE"/>
    <w:rsid w:val="00280593"/>
    <w:rsid w:val="0028120E"/>
    <w:rsid w:val="00281594"/>
    <w:rsid w:val="00281CB0"/>
    <w:rsid w:val="002843AC"/>
    <w:rsid w:val="00284FA5"/>
    <w:rsid w:val="00287177"/>
    <w:rsid w:val="00291A2A"/>
    <w:rsid w:val="00292579"/>
    <w:rsid w:val="0029333C"/>
    <w:rsid w:val="0029342D"/>
    <w:rsid w:val="00294822"/>
    <w:rsid w:val="00294C9E"/>
    <w:rsid w:val="002950EF"/>
    <w:rsid w:val="00296FCF"/>
    <w:rsid w:val="0029733D"/>
    <w:rsid w:val="002977AD"/>
    <w:rsid w:val="00297D1F"/>
    <w:rsid w:val="002A049F"/>
    <w:rsid w:val="002A0774"/>
    <w:rsid w:val="002A1D59"/>
    <w:rsid w:val="002A213A"/>
    <w:rsid w:val="002A3493"/>
    <w:rsid w:val="002A3AB9"/>
    <w:rsid w:val="002A4AB7"/>
    <w:rsid w:val="002A4CDA"/>
    <w:rsid w:val="002A5B89"/>
    <w:rsid w:val="002A754A"/>
    <w:rsid w:val="002B1918"/>
    <w:rsid w:val="002B3878"/>
    <w:rsid w:val="002B3BBA"/>
    <w:rsid w:val="002B3E8D"/>
    <w:rsid w:val="002B49DB"/>
    <w:rsid w:val="002B5B04"/>
    <w:rsid w:val="002B7914"/>
    <w:rsid w:val="002C2483"/>
    <w:rsid w:val="002C425A"/>
    <w:rsid w:val="002C5B7B"/>
    <w:rsid w:val="002C60DF"/>
    <w:rsid w:val="002C6518"/>
    <w:rsid w:val="002C6E73"/>
    <w:rsid w:val="002D1F7F"/>
    <w:rsid w:val="002D25AA"/>
    <w:rsid w:val="002D586D"/>
    <w:rsid w:val="002D5F9C"/>
    <w:rsid w:val="002D6DCD"/>
    <w:rsid w:val="002E0EB2"/>
    <w:rsid w:val="002E1E0B"/>
    <w:rsid w:val="002E21B7"/>
    <w:rsid w:val="002E36B6"/>
    <w:rsid w:val="002E3CCD"/>
    <w:rsid w:val="002E3D68"/>
    <w:rsid w:val="002E3E05"/>
    <w:rsid w:val="002E4738"/>
    <w:rsid w:val="002E5A68"/>
    <w:rsid w:val="002E5ADC"/>
    <w:rsid w:val="002F134D"/>
    <w:rsid w:val="002F21DD"/>
    <w:rsid w:val="002F2660"/>
    <w:rsid w:val="002F4354"/>
    <w:rsid w:val="002F5E2B"/>
    <w:rsid w:val="0030130E"/>
    <w:rsid w:val="00301F89"/>
    <w:rsid w:val="00302C27"/>
    <w:rsid w:val="0030333C"/>
    <w:rsid w:val="0030366A"/>
    <w:rsid w:val="003043C2"/>
    <w:rsid w:val="00304CEC"/>
    <w:rsid w:val="00305E10"/>
    <w:rsid w:val="00306892"/>
    <w:rsid w:val="00306A83"/>
    <w:rsid w:val="003115FD"/>
    <w:rsid w:val="00312964"/>
    <w:rsid w:val="00312FCA"/>
    <w:rsid w:val="00315719"/>
    <w:rsid w:val="003177DF"/>
    <w:rsid w:val="00317C87"/>
    <w:rsid w:val="00321358"/>
    <w:rsid w:val="003230C6"/>
    <w:rsid w:val="00323421"/>
    <w:rsid w:val="00324199"/>
    <w:rsid w:val="0032421C"/>
    <w:rsid w:val="003265B3"/>
    <w:rsid w:val="00327063"/>
    <w:rsid w:val="00330A46"/>
    <w:rsid w:val="003343A3"/>
    <w:rsid w:val="00334403"/>
    <w:rsid w:val="00334553"/>
    <w:rsid w:val="003351C0"/>
    <w:rsid w:val="0033632F"/>
    <w:rsid w:val="003368EC"/>
    <w:rsid w:val="003369AB"/>
    <w:rsid w:val="0034080D"/>
    <w:rsid w:val="00342EEA"/>
    <w:rsid w:val="00345269"/>
    <w:rsid w:val="0034597E"/>
    <w:rsid w:val="00345D9D"/>
    <w:rsid w:val="003462F7"/>
    <w:rsid w:val="003466D0"/>
    <w:rsid w:val="0035066A"/>
    <w:rsid w:val="00350EDC"/>
    <w:rsid w:val="00350FC3"/>
    <w:rsid w:val="00353015"/>
    <w:rsid w:val="003531A4"/>
    <w:rsid w:val="00353BF9"/>
    <w:rsid w:val="00353CB2"/>
    <w:rsid w:val="00354328"/>
    <w:rsid w:val="00355759"/>
    <w:rsid w:val="0035721F"/>
    <w:rsid w:val="00357552"/>
    <w:rsid w:val="00357B20"/>
    <w:rsid w:val="00360994"/>
    <w:rsid w:val="0036160F"/>
    <w:rsid w:val="00365595"/>
    <w:rsid w:val="00367883"/>
    <w:rsid w:val="00367E93"/>
    <w:rsid w:val="00370967"/>
    <w:rsid w:val="003723F8"/>
    <w:rsid w:val="0037294C"/>
    <w:rsid w:val="003733CD"/>
    <w:rsid w:val="00374BD6"/>
    <w:rsid w:val="003771FD"/>
    <w:rsid w:val="0037749A"/>
    <w:rsid w:val="00380F20"/>
    <w:rsid w:val="003811C0"/>
    <w:rsid w:val="0038154E"/>
    <w:rsid w:val="00384FD4"/>
    <w:rsid w:val="00385CB0"/>
    <w:rsid w:val="00387298"/>
    <w:rsid w:val="00391F91"/>
    <w:rsid w:val="00394651"/>
    <w:rsid w:val="003959F9"/>
    <w:rsid w:val="003969E2"/>
    <w:rsid w:val="00396A7A"/>
    <w:rsid w:val="00397C7E"/>
    <w:rsid w:val="003A0255"/>
    <w:rsid w:val="003A0677"/>
    <w:rsid w:val="003A0E5F"/>
    <w:rsid w:val="003A1D08"/>
    <w:rsid w:val="003A2277"/>
    <w:rsid w:val="003A2578"/>
    <w:rsid w:val="003A37E1"/>
    <w:rsid w:val="003A3E7B"/>
    <w:rsid w:val="003A3F3F"/>
    <w:rsid w:val="003A45FF"/>
    <w:rsid w:val="003A54CC"/>
    <w:rsid w:val="003A5587"/>
    <w:rsid w:val="003A5952"/>
    <w:rsid w:val="003A6D59"/>
    <w:rsid w:val="003A78FD"/>
    <w:rsid w:val="003B1DA3"/>
    <w:rsid w:val="003B293A"/>
    <w:rsid w:val="003B39E1"/>
    <w:rsid w:val="003B3B66"/>
    <w:rsid w:val="003B5986"/>
    <w:rsid w:val="003B64D3"/>
    <w:rsid w:val="003B6CA5"/>
    <w:rsid w:val="003B7E6E"/>
    <w:rsid w:val="003C1956"/>
    <w:rsid w:val="003C2468"/>
    <w:rsid w:val="003C2BDC"/>
    <w:rsid w:val="003C426F"/>
    <w:rsid w:val="003C55A2"/>
    <w:rsid w:val="003D063C"/>
    <w:rsid w:val="003D1521"/>
    <w:rsid w:val="003D3A52"/>
    <w:rsid w:val="003D5F50"/>
    <w:rsid w:val="003D788F"/>
    <w:rsid w:val="003E05C9"/>
    <w:rsid w:val="003E1263"/>
    <w:rsid w:val="003E13B8"/>
    <w:rsid w:val="003E2C1F"/>
    <w:rsid w:val="003E3DB5"/>
    <w:rsid w:val="003E43D7"/>
    <w:rsid w:val="003E509B"/>
    <w:rsid w:val="003E587D"/>
    <w:rsid w:val="003E73C6"/>
    <w:rsid w:val="003F07F6"/>
    <w:rsid w:val="003F2DB2"/>
    <w:rsid w:val="003F2EE3"/>
    <w:rsid w:val="003F4A26"/>
    <w:rsid w:val="003F5A60"/>
    <w:rsid w:val="003F6421"/>
    <w:rsid w:val="003F72A9"/>
    <w:rsid w:val="003F790E"/>
    <w:rsid w:val="00401264"/>
    <w:rsid w:val="00401D83"/>
    <w:rsid w:val="004040C0"/>
    <w:rsid w:val="00404471"/>
    <w:rsid w:val="00404E1B"/>
    <w:rsid w:val="004059E3"/>
    <w:rsid w:val="004064D4"/>
    <w:rsid w:val="00411035"/>
    <w:rsid w:val="004113FA"/>
    <w:rsid w:val="00411A7F"/>
    <w:rsid w:val="00412253"/>
    <w:rsid w:val="0041253D"/>
    <w:rsid w:val="00420D01"/>
    <w:rsid w:val="00420EE8"/>
    <w:rsid w:val="00422439"/>
    <w:rsid w:val="00423181"/>
    <w:rsid w:val="00423AEB"/>
    <w:rsid w:val="00423B1D"/>
    <w:rsid w:val="0042469C"/>
    <w:rsid w:val="004248C4"/>
    <w:rsid w:val="00424AAF"/>
    <w:rsid w:val="00424AD2"/>
    <w:rsid w:val="00426456"/>
    <w:rsid w:val="00427050"/>
    <w:rsid w:val="00427B24"/>
    <w:rsid w:val="004312DC"/>
    <w:rsid w:val="004313C7"/>
    <w:rsid w:val="00431DE4"/>
    <w:rsid w:val="00432F38"/>
    <w:rsid w:val="00433657"/>
    <w:rsid w:val="00434261"/>
    <w:rsid w:val="004355F5"/>
    <w:rsid w:val="0043564F"/>
    <w:rsid w:val="00440912"/>
    <w:rsid w:val="004435EE"/>
    <w:rsid w:val="0044406D"/>
    <w:rsid w:val="00444129"/>
    <w:rsid w:val="004443CF"/>
    <w:rsid w:val="00445484"/>
    <w:rsid w:val="004454E6"/>
    <w:rsid w:val="0044744F"/>
    <w:rsid w:val="00447572"/>
    <w:rsid w:val="00450015"/>
    <w:rsid w:val="00450C5A"/>
    <w:rsid w:val="004511A3"/>
    <w:rsid w:val="00451876"/>
    <w:rsid w:val="00451889"/>
    <w:rsid w:val="00453999"/>
    <w:rsid w:val="00454795"/>
    <w:rsid w:val="00454BCF"/>
    <w:rsid w:val="004553E3"/>
    <w:rsid w:val="0045623D"/>
    <w:rsid w:val="0045715F"/>
    <w:rsid w:val="0046133B"/>
    <w:rsid w:val="00461A69"/>
    <w:rsid w:val="0046266D"/>
    <w:rsid w:val="004650C0"/>
    <w:rsid w:val="00465B62"/>
    <w:rsid w:val="004668D0"/>
    <w:rsid w:val="004669AE"/>
    <w:rsid w:val="0047064D"/>
    <w:rsid w:val="00471ACD"/>
    <w:rsid w:val="00471D49"/>
    <w:rsid w:val="004723C5"/>
    <w:rsid w:val="0047284D"/>
    <w:rsid w:val="004734C5"/>
    <w:rsid w:val="0047365A"/>
    <w:rsid w:val="00473DAB"/>
    <w:rsid w:val="00476CEE"/>
    <w:rsid w:val="00480490"/>
    <w:rsid w:val="004811C6"/>
    <w:rsid w:val="004817C2"/>
    <w:rsid w:val="00483BE9"/>
    <w:rsid w:val="00484056"/>
    <w:rsid w:val="0048458E"/>
    <w:rsid w:val="00484B57"/>
    <w:rsid w:val="00486056"/>
    <w:rsid w:val="004876F5"/>
    <w:rsid w:val="004902C0"/>
    <w:rsid w:val="00490775"/>
    <w:rsid w:val="004908A9"/>
    <w:rsid w:val="00491B12"/>
    <w:rsid w:val="0049204D"/>
    <w:rsid w:val="0049232F"/>
    <w:rsid w:val="00493F14"/>
    <w:rsid w:val="00494B0D"/>
    <w:rsid w:val="00494BE1"/>
    <w:rsid w:val="00494E6B"/>
    <w:rsid w:val="00494F15"/>
    <w:rsid w:val="00495477"/>
    <w:rsid w:val="00496A88"/>
    <w:rsid w:val="004A3FC6"/>
    <w:rsid w:val="004A437F"/>
    <w:rsid w:val="004A44B7"/>
    <w:rsid w:val="004A5AEB"/>
    <w:rsid w:val="004A68FB"/>
    <w:rsid w:val="004A6C72"/>
    <w:rsid w:val="004A7165"/>
    <w:rsid w:val="004B184A"/>
    <w:rsid w:val="004B29D7"/>
    <w:rsid w:val="004B50C0"/>
    <w:rsid w:val="004B6A40"/>
    <w:rsid w:val="004C07CE"/>
    <w:rsid w:val="004C08C0"/>
    <w:rsid w:val="004C1258"/>
    <w:rsid w:val="004C1891"/>
    <w:rsid w:val="004C1C9C"/>
    <w:rsid w:val="004C288D"/>
    <w:rsid w:val="004C3583"/>
    <w:rsid w:val="004C47BC"/>
    <w:rsid w:val="004C6D9D"/>
    <w:rsid w:val="004D093A"/>
    <w:rsid w:val="004D1C10"/>
    <w:rsid w:val="004D1E5E"/>
    <w:rsid w:val="004D455F"/>
    <w:rsid w:val="004D51C5"/>
    <w:rsid w:val="004E1A0C"/>
    <w:rsid w:val="004E1A55"/>
    <w:rsid w:val="004E24CC"/>
    <w:rsid w:val="004E30C6"/>
    <w:rsid w:val="004E5B16"/>
    <w:rsid w:val="004E5C93"/>
    <w:rsid w:val="004E6304"/>
    <w:rsid w:val="004E63D9"/>
    <w:rsid w:val="004E662E"/>
    <w:rsid w:val="004E6DB4"/>
    <w:rsid w:val="004E7064"/>
    <w:rsid w:val="004E7A86"/>
    <w:rsid w:val="004F015F"/>
    <w:rsid w:val="004F07FD"/>
    <w:rsid w:val="004F0F6F"/>
    <w:rsid w:val="004F11A0"/>
    <w:rsid w:val="004F16E6"/>
    <w:rsid w:val="004F1F32"/>
    <w:rsid w:val="004F31CD"/>
    <w:rsid w:val="004F4182"/>
    <w:rsid w:val="004F560B"/>
    <w:rsid w:val="004F5B9C"/>
    <w:rsid w:val="00500EBA"/>
    <w:rsid w:val="0050242F"/>
    <w:rsid w:val="005028F1"/>
    <w:rsid w:val="00503657"/>
    <w:rsid w:val="00504963"/>
    <w:rsid w:val="00504A19"/>
    <w:rsid w:val="00504BE0"/>
    <w:rsid w:val="00505BE0"/>
    <w:rsid w:val="00506E70"/>
    <w:rsid w:val="00507287"/>
    <w:rsid w:val="005072CF"/>
    <w:rsid w:val="005078B2"/>
    <w:rsid w:val="00507E4C"/>
    <w:rsid w:val="005123E7"/>
    <w:rsid w:val="005128D7"/>
    <w:rsid w:val="00513394"/>
    <w:rsid w:val="005153A2"/>
    <w:rsid w:val="00517029"/>
    <w:rsid w:val="0051714E"/>
    <w:rsid w:val="00517347"/>
    <w:rsid w:val="00520627"/>
    <w:rsid w:val="0052105A"/>
    <w:rsid w:val="00521CA0"/>
    <w:rsid w:val="00522D20"/>
    <w:rsid w:val="005233CF"/>
    <w:rsid w:val="00523C4C"/>
    <w:rsid w:val="0052514C"/>
    <w:rsid w:val="005261CB"/>
    <w:rsid w:val="00531B64"/>
    <w:rsid w:val="005334F9"/>
    <w:rsid w:val="005336B9"/>
    <w:rsid w:val="00533762"/>
    <w:rsid w:val="0053467B"/>
    <w:rsid w:val="00534B17"/>
    <w:rsid w:val="0053565A"/>
    <w:rsid w:val="00535EB4"/>
    <w:rsid w:val="005367D2"/>
    <w:rsid w:val="005370B7"/>
    <w:rsid w:val="00537ABA"/>
    <w:rsid w:val="005422CA"/>
    <w:rsid w:val="00543140"/>
    <w:rsid w:val="005439A3"/>
    <w:rsid w:val="00543D09"/>
    <w:rsid w:val="00545D50"/>
    <w:rsid w:val="00546607"/>
    <w:rsid w:val="005501CA"/>
    <w:rsid w:val="00550E45"/>
    <w:rsid w:val="00551AC9"/>
    <w:rsid w:val="005520FB"/>
    <w:rsid w:val="00552697"/>
    <w:rsid w:val="0055304B"/>
    <w:rsid w:val="005534C4"/>
    <w:rsid w:val="005538A4"/>
    <w:rsid w:val="00553E7B"/>
    <w:rsid w:val="00556BF3"/>
    <w:rsid w:val="00556EE7"/>
    <w:rsid w:val="005600B8"/>
    <w:rsid w:val="00563668"/>
    <w:rsid w:val="005663CA"/>
    <w:rsid w:val="00567211"/>
    <w:rsid w:val="00567710"/>
    <w:rsid w:val="0057003A"/>
    <w:rsid w:val="00570AAD"/>
    <w:rsid w:val="00570C93"/>
    <w:rsid w:val="005731FB"/>
    <w:rsid w:val="00573508"/>
    <w:rsid w:val="00575CED"/>
    <w:rsid w:val="0057762D"/>
    <w:rsid w:val="005806AE"/>
    <w:rsid w:val="00581DC5"/>
    <w:rsid w:val="00581EEB"/>
    <w:rsid w:val="0058201D"/>
    <w:rsid w:val="005823A7"/>
    <w:rsid w:val="00582407"/>
    <w:rsid w:val="00582A18"/>
    <w:rsid w:val="00583147"/>
    <w:rsid w:val="00583D9F"/>
    <w:rsid w:val="00586503"/>
    <w:rsid w:val="00587AF3"/>
    <w:rsid w:val="00591FB2"/>
    <w:rsid w:val="005920CC"/>
    <w:rsid w:val="00592118"/>
    <w:rsid w:val="0059228F"/>
    <w:rsid w:val="005938BA"/>
    <w:rsid w:val="00595153"/>
    <w:rsid w:val="00596874"/>
    <w:rsid w:val="005A0544"/>
    <w:rsid w:val="005A10FC"/>
    <w:rsid w:val="005A188C"/>
    <w:rsid w:val="005A1BE3"/>
    <w:rsid w:val="005A2952"/>
    <w:rsid w:val="005A2E99"/>
    <w:rsid w:val="005A4192"/>
    <w:rsid w:val="005A4481"/>
    <w:rsid w:val="005A585D"/>
    <w:rsid w:val="005A6515"/>
    <w:rsid w:val="005A6CB9"/>
    <w:rsid w:val="005A7A33"/>
    <w:rsid w:val="005B22B5"/>
    <w:rsid w:val="005B2B22"/>
    <w:rsid w:val="005B346D"/>
    <w:rsid w:val="005B79E2"/>
    <w:rsid w:val="005C1DB9"/>
    <w:rsid w:val="005C674D"/>
    <w:rsid w:val="005C72B1"/>
    <w:rsid w:val="005D02ED"/>
    <w:rsid w:val="005D07EE"/>
    <w:rsid w:val="005D4301"/>
    <w:rsid w:val="005D5001"/>
    <w:rsid w:val="005D5FF5"/>
    <w:rsid w:val="005D7301"/>
    <w:rsid w:val="005D754B"/>
    <w:rsid w:val="005D7F03"/>
    <w:rsid w:val="005E0271"/>
    <w:rsid w:val="005E15CA"/>
    <w:rsid w:val="005E4245"/>
    <w:rsid w:val="005E4255"/>
    <w:rsid w:val="005E496C"/>
    <w:rsid w:val="005E530C"/>
    <w:rsid w:val="005F0BF5"/>
    <w:rsid w:val="005F2995"/>
    <w:rsid w:val="005F2A21"/>
    <w:rsid w:val="005F2C93"/>
    <w:rsid w:val="005F33AC"/>
    <w:rsid w:val="005F3A6A"/>
    <w:rsid w:val="005F3ACE"/>
    <w:rsid w:val="005F3F37"/>
    <w:rsid w:val="005F59B2"/>
    <w:rsid w:val="005F74FF"/>
    <w:rsid w:val="005F7D66"/>
    <w:rsid w:val="006008C0"/>
    <w:rsid w:val="00600A38"/>
    <w:rsid w:val="00600F62"/>
    <w:rsid w:val="00601515"/>
    <w:rsid w:val="00601571"/>
    <w:rsid w:val="006017B0"/>
    <w:rsid w:val="00601CD7"/>
    <w:rsid w:val="006021D1"/>
    <w:rsid w:val="00602B1F"/>
    <w:rsid w:val="00603607"/>
    <w:rsid w:val="00603D44"/>
    <w:rsid w:val="0060479B"/>
    <w:rsid w:val="0060744F"/>
    <w:rsid w:val="00611535"/>
    <w:rsid w:val="00614D4F"/>
    <w:rsid w:val="006161F4"/>
    <w:rsid w:val="006163E7"/>
    <w:rsid w:val="0062049F"/>
    <w:rsid w:val="00620FB9"/>
    <w:rsid w:val="0062612C"/>
    <w:rsid w:val="006304FC"/>
    <w:rsid w:val="006320F9"/>
    <w:rsid w:val="00633B35"/>
    <w:rsid w:val="0063439B"/>
    <w:rsid w:val="0063583C"/>
    <w:rsid w:val="00636F13"/>
    <w:rsid w:val="00637338"/>
    <w:rsid w:val="00637AB8"/>
    <w:rsid w:val="00640321"/>
    <w:rsid w:val="00640565"/>
    <w:rsid w:val="00641E2E"/>
    <w:rsid w:val="00641EDB"/>
    <w:rsid w:val="00642881"/>
    <w:rsid w:val="00643E7F"/>
    <w:rsid w:val="006457BF"/>
    <w:rsid w:val="0065001E"/>
    <w:rsid w:val="0065088A"/>
    <w:rsid w:val="0065183B"/>
    <w:rsid w:val="0065427B"/>
    <w:rsid w:val="006556A5"/>
    <w:rsid w:val="00655ACD"/>
    <w:rsid w:val="006562DA"/>
    <w:rsid w:val="006568D6"/>
    <w:rsid w:val="0065745D"/>
    <w:rsid w:val="00662880"/>
    <w:rsid w:val="00662F6E"/>
    <w:rsid w:val="0066349F"/>
    <w:rsid w:val="0066381A"/>
    <w:rsid w:val="006646B4"/>
    <w:rsid w:val="0066495A"/>
    <w:rsid w:val="00667F25"/>
    <w:rsid w:val="00670D00"/>
    <w:rsid w:val="006715E4"/>
    <w:rsid w:val="0067256C"/>
    <w:rsid w:val="00672646"/>
    <w:rsid w:val="00673059"/>
    <w:rsid w:val="0067308C"/>
    <w:rsid w:val="00673090"/>
    <w:rsid w:val="00673530"/>
    <w:rsid w:val="006736BB"/>
    <w:rsid w:val="00675ACC"/>
    <w:rsid w:val="0068049D"/>
    <w:rsid w:val="00680E74"/>
    <w:rsid w:val="00683034"/>
    <w:rsid w:val="006837C4"/>
    <w:rsid w:val="00684D1D"/>
    <w:rsid w:val="006865BB"/>
    <w:rsid w:val="00686851"/>
    <w:rsid w:val="00687D3B"/>
    <w:rsid w:val="0069102C"/>
    <w:rsid w:val="00692486"/>
    <w:rsid w:val="00694162"/>
    <w:rsid w:val="0069542B"/>
    <w:rsid w:val="0069562D"/>
    <w:rsid w:val="00695BEB"/>
    <w:rsid w:val="006A06E0"/>
    <w:rsid w:val="006A22AD"/>
    <w:rsid w:val="006A42B3"/>
    <w:rsid w:val="006A44E6"/>
    <w:rsid w:val="006A4FE6"/>
    <w:rsid w:val="006A5A42"/>
    <w:rsid w:val="006A6C6A"/>
    <w:rsid w:val="006B04EE"/>
    <w:rsid w:val="006B2256"/>
    <w:rsid w:val="006B3DC4"/>
    <w:rsid w:val="006B43FB"/>
    <w:rsid w:val="006B5103"/>
    <w:rsid w:val="006B5D02"/>
    <w:rsid w:val="006B65E8"/>
    <w:rsid w:val="006B6664"/>
    <w:rsid w:val="006B6A01"/>
    <w:rsid w:val="006B6AA9"/>
    <w:rsid w:val="006B6BF4"/>
    <w:rsid w:val="006C0928"/>
    <w:rsid w:val="006C1959"/>
    <w:rsid w:val="006C2B75"/>
    <w:rsid w:val="006C3EBB"/>
    <w:rsid w:val="006C4185"/>
    <w:rsid w:val="006C6EF5"/>
    <w:rsid w:val="006D063B"/>
    <w:rsid w:val="006D39B2"/>
    <w:rsid w:val="006D3D4F"/>
    <w:rsid w:val="006D3F6B"/>
    <w:rsid w:val="006D4F1A"/>
    <w:rsid w:val="006D52E2"/>
    <w:rsid w:val="006D569B"/>
    <w:rsid w:val="006D6087"/>
    <w:rsid w:val="006D6684"/>
    <w:rsid w:val="006D6F73"/>
    <w:rsid w:val="006D70B9"/>
    <w:rsid w:val="006D7D90"/>
    <w:rsid w:val="006E28AA"/>
    <w:rsid w:val="006E4A85"/>
    <w:rsid w:val="006E74B2"/>
    <w:rsid w:val="006F0188"/>
    <w:rsid w:val="006F0A29"/>
    <w:rsid w:val="006F167D"/>
    <w:rsid w:val="006F18D5"/>
    <w:rsid w:val="006F1F83"/>
    <w:rsid w:val="006F21E8"/>
    <w:rsid w:val="006F42A9"/>
    <w:rsid w:val="006F50EA"/>
    <w:rsid w:val="006F535A"/>
    <w:rsid w:val="006F6C6D"/>
    <w:rsid w:val="007002E9"/>
    <w:rsid w:val="0070102C"/>
    <w:rsid w:val="00701569"/>
    <w:rsid w:val="0070291B"/>
    <w:rsid w:val="007044FC"/>
    <w:rsid w:val="00706A1C"/>
    <w:rsid w:val="0070751A"/>
    <w:rsid w:val="00707A08"/>
    <w:rsid w:val="00711203"/>
    <w:rsid w:val="00711DD9"/>
    <w:rsid w:val="00713675"/>
    <w:rsid w:val="007139D1"/>
    <w:rsid w:val="00714164"/>
    <w:rsid w:val="00716A2E"/>
    <w:rsid w:val="0072037F"/>
    <w:rsid w:val="00723678"/>
    <w:rsid w:val="007238C9"/>
    <w:rsid w:val="0072505F"/>
    <w:rsid w:val="007255BB"/>
    <w:rsid w:val="007261BD"/>
    <w:rsid w:val="007277B7"/>
    <w:rsid w:val="0073088E"/>
    <w:rsid w:val="00733F89"/>
    <w:rsid w:val="0073409B"/>
    <w:rsid w:val="0073493B"/>
    <w:rsid w:val="00735270"/>
    <w:rsid w:val="00736542"/>
    <w:rsid w:val="00736E97"/>
    <w:rsid w:val="00736F58"/>
    <w:rsid w:val="007414E2"/>
    <w:rsid w:val="0074367C"/>
    <w:rsid w:val="00743D7F"/>
    <w:rsid w:val="00745D5B"/>
    <w:rsid w:val="007466F5"/>
    <w:rsid w:val="007504D9"/>
    <w:rsid w:val="00752C5E"/>
    <w:rsid w:val="00754486"/>
    <w:rsid w:val="00754B40"/>
    <w:rsid w:val="00756D04"/>
    <w:rsid w:val="00757D2A"/>
    <w:rsid w:val="00757E3E"/>
    <w:rsid w:val="007610FC"/>
    <w:rsid w:val="007616C3"/>
    <w:rsid w:val="00764204"/>
    <w:rsid w:val="007714D0"/>
    <w:rsid w:val="00771B17"/>
    <w:rsid w:val="0077228C"/>
    <w:rsid w:val="00772D1D"/>
    <w:rsid w:val="00775665"/>
    <w:rsid w:val="00775AB6"/>
    <w:rsid w:val="00776FF8"/>
    <w:rsid w:val="00777CC8"/>
    <w:rsid w:val="00780298"/>
    <w:rsid w:val="007803C4"/>
    <w:rsid w:val="00781174"/>
    <w:rsid w:val="00781862"/>
    <w:rsid w:val="0078293D"/>
    <w:rsid w:val="00782C40"/>
    <w:rsid w:val="00783380"/>
    <w:rsid w:val="0078417B"/>
    <w:rsid w:val="00784966"/>
    <w:rsid w:val="00784D8B"/>
    <w:rsid w:val="00784E32"/>
    <w:rsid w:val="00787AE9"/>
    <w:rsid w:val="00790F5E"/>
    <w:rsid w:val="0079241C"/>
    <w:rsid w:val="00792A7B"/>
    <w:rsid w:val="007932D1"/>
    <w:rsid w:val="00793701"/>
    <w:rsid w:val="00793D0B"/>
    <w:rsid w:val="00795C11"/>
    <w:rsid w:val="00797210"/>
    <w:rsid w:val="007A1784"/>
    <w:rsid w:val="007A18C0"/>
    <w:rsid w:val="007A29E6"/>
    <w:rsid w:val="007A3B37"/>
    <w:rsid w:val="007A432D"/>
    <w:rsid w:val="007A7044"/>
    <w:rsid w:val="007B0493"/>
    <w:rsid w:val="007B1529"/>
    <w:rsid w:val="007B1D2A"/>
    <w:rsid w:val="007B2BEF"/>
    <w:rsid w:val="007B33A6"/>
    <w:rsid w:val="007B3B95"/>
    <w:rsid w:val="007B3F5D"/>
    <w:rsid w:val="007B4A0D"/>
    <w:rsid w:val="007B4AB0"/>
    <w:rsid w:val="007B4B22"/>
    <w:rsid w:val="007B6AB3"/>
    <w:rsid w:val="007B7B47"/>
    <w:rsid w:val="007C0447"/>
    <w:rsid w:val="007C1194"/>
    <w:rsid w:val="007C20F4"/>
    <w:rsid w:val="007C30F5"/>
    <w:rsid w:val="007C5C8C"/>
    <w:rsid w:val="007C7EBB"/>
    <w:rsid w:val="007D0D4C"/>
    <w:rsid w:val="007D21E1"/>
    <w:rsid w:val="007D356D"/>
    <w:rsid w:val="007D535F"/>
    <w:rsid w:val="007D5389"/>
    <w:rsid w:val="007D59AE"/>
    <w:rsid w:val="007D67B9"/>
    <w:rsid w:val="007D73B9"/>
    <w:rsid w:val="007D7A19"/>
    <w:rsid w:val="007E053B"/>
    <w:rsid w:val="007E18CF"/>
    <w:rsid w:val="007E1BFA"/>
    <w:rsid w:val="007E1F96"/>
    <w:rsid w:val="007E2177"/>
    <w:rsid w:val="007E356F"/>
    <w:rsid w:val="007E3880"/>
    <w:rsid w:val="007E45B2"/>
    <w:rsid w:val="007E548A"/>
    <w:rsid w:val="007E56CD"/>
    <w:rsid w:val="007E72A6"/>
    <w:rsid w:val="007E7D42"/>
    <w:rsid w:val="007F0583"/>
    <w:rsid w:val="007F0758"/>
    <w:rsid w:val="007F1C1F"/>
    <w:rsid w:val="007F3758"/>
    <w:rsid w:val="007F41B1"/>
    <w:rsid w:val="007F4B1E"/>
    <w:rsid w:val="007F527B"/>
    <w:rsid w:val="007F5360"/>
    <w:rsid w:val="007F7552"/>
    <w:rsid w:val="00800175"/>
    <w:rsid w:val="00800D2A"/>
    <w:rsid w:val="00801393"/>
    <w:rsid w:val="00802431"/>
    <w:rsid w:val="008029DB"/>
    <w:rsid w:val="00802AC7"/>
    <w:rsid w:val="00803224"/>
    <w:rsid w:val="00803544"/>
    <w:rsid w:val="00804897"/>
    <w:rsid w:val="00805024"/>
    <w:rsid w:val="008050B9"/>
    <w:rsid w:val="00805BF2"/>
    <w:rsid w:val="0080626D"/>
    <w:rsid w:val="00806642"/>
    <w:rsid w:val="00806C0F"/>
    <w:rsid w:val="00806E8B"/>
    <w:rsid w:val="00806F5E"/>
    <w:rsid w:val="00810391"/>
    <w:rsid w:val="008108A0"/>
    <w:rsid w:val="00810AED"/>
    <w:rsid w:val="0081108D"/>
    <w:rsid w:val="008119A8"/>
    <w:rsid w:val="00812666"/>
    <w:rsid w:val="00813833"/>
    <w:rsid w:val="008149C8"/>
    <w:rsid w:val="00815874"/>
    <w:rsid w:val="008163BD"/>
    <w:rsid w:val="0081718B"/>
    <w:rsid w:val="008172B6"/>
    <w:rsid w:val="0082076E"/>
    <w:rsid w:val="00820EF6"/>
    <w:rsid w:val="00823018"/>
    <w:rsid w:val="00823142"/>
    <w:rsid w:val="00823B6F"/>
    <w:rsid w:val="00831F9E"/>
    <w:rsid w:val="0083448D"/>
    <w:rsid w:val="00834AB5"/>
    <w:rsid w:val="00834C34"/>
    <w:rsid w:val="00834C81"/>
    <w:rsid w:val="00834E58"/>
    <w:rsid w:val="00835B64"/>
    <w:rsid w:val="00836704"/>
    <w:rsid w:val="0084168B"/>
    <w:rsid w:val="0084349F"/>
    <w:rsid w:val="00843783"/>
    <w:rsid w:val="00847ADD"/>
    <w:rsid w:val="00847CF3"/>
    <w:rsid w:val="00852272"/>
    <w:rsid w:val="00854066"/>
    <w:rsid w:val="008542BF"/>
    <w:rsid w:val="00854547"/>
    <w:rsid w:val="00854EDB"/>
    <w:rsid w:val="0085567C"/>
    <w:rsid w:val="00855C66"/>
    <w:rsid w:val="0085726B"/>
    <w:rsid w:val="00857B55"/>
    <w:rsid w:val="00860300"/>
    <w:rsid w:val="008606C8"/>
    <w:rsid w:val="008644B0"/>
    <w:rsid w:val="00865143"/>
    <w:rsid w:val="00865A2B"/>
    <w:rsid w:val="0086698B"/>
    <w:rsid w:val="00873A21"/>
    <w:rsid w:val="008744E0"/>
    <w:rsid w:val="00875A39"/>
    <w:rsid w:val="00880578"/>
    <w:rsid w:val="008822D4"/>
    <w:rsid w:val="00882555"/>
    <w:rsid w:val="0088285F"/>
    <w:rsid w:val="00883BF2"/>
    <w:rsid w:val="00883FB7"/>
    <w:rsid w:val="00884460"/>
    <w:rsid w:val="00885EDB"/>
    <w:rsid w:val="0088745E"/>
    <w:rsid w:val="008876C8"/>
    <w:rsid w:val="008900FA"/>
    <w:rsid w:val="008907F7"/>
    <w:rsid w:val="0089336F"/>
    <w:rsid w:val="00894442"/>
    <w:rsid w:val="008949EB"/>
    <w:rsid w:val="00894ED6"/>
    <w:rsid w:val="00895104"/>
    <w:rsid w:val="008957BA"/>
    <w:rsid w:val="00896B55"/>
    <w:rsid w:val="008A1B42"/>
    <w:rsid w:val="008A2616"/>
    <w:rsid w:val="008A2CB5"/>
    <w:rsid w:val="008A2F25"/>
    <w:rsid w:val="008A33CB"/>
    <w:rsid w:val="008A3A85"/>
    <w:rsid w:val="008B0313"/>
    <w:rsid w:val="008B059E"/>
    <w:rsid w:val="008B23A8"/>
    <w:rsid w:val="008B4D8F"/>
    <w:rsid w:val="008B57BB"/>
    <w:rsid w:val="008B6954"/>
    <w:rsid w:val="008B725D"/>
    <w:rsid w:val="008C0063"/>
    <w:rsid w:val="008C2AB5"/>
    <w:rsid w:val="008C3966"/>
    <w:rsid w:val="008C3B46"/>
    <w:rsid w:val="008C3DEA"/>
    <w:rsid w:val="008C43E6"/>
    <w:rsid w:val="008C58C1"/>
    <w:rsid w:val="008C62A9"/>
    <w:rsid w:val="008D0B62"/>
    <w:rsid w:val="008D25C0"/>
    <w:rsid w:val="008D4F4C"/>
    <w:rsid w:val="008D52BC"/>
    <w:rsid w:val="008D634F"/>
    <w:rsid w:val="008D6AB5"/>
    <w:rsid w:val="008E0206"/>
    <w:rsid w:val="008E2808"/>
    <w:rsid w:val="008E2FDE"/>
    <w:rsid w:val="008E398E"/>
    <w:rsid w:val="008E3D87"/>
    <w:rsid w:val="008E55C7"/>
    <w:rsid w:val="008E7C41"/>
    <w:rsid w:val="008F0D26"/>
    <w:rsid w:val="008F136C"/>
    <w:rsid w:val="008F18E2"/>
    <w:rsid w:val="008F24B0"/>
    <w:rsid w:val="008F4FC5"/>
    <w:rsid w:val="008F77E0"/>
    <w:rsid w:val="00900891"/>
    <w:rsid w:val="00901E97"/>
    <w:rsid w:val="00902055"/>
    <w:rsid w:val="00902E5A"/>
    <w:rsid w:val="00904069"/>
    <w:rsid w:val="009040EA"/>
    <w:rsid w:val="009041F4"/>
    <w:rsid w:val="009045C5"/>
    <w:rsid w:val="00905102"/>
    <w:rsid w:val="009062C9"/>
    <w:rsid w:val="00907622"/>
    <w:rsid w:val="009105B8"/>
    <w:rsid w:val="009106CA"/>
    <w:rsid w:val="009107F1"/>
    <w:rsid w:val="009115EA"/>
    <w:rsid w:val="00912AD1"/>
    <w:rsid w:val="00912EE2"/>
    <w:rsid w:val="00914510"/>
    <w:rsid w:val="00914969"/>
    <w:rsid w:val="00916EF4"/>
    <w:rsid w:val="009172F5"/>
    <w:rsid w:val="0091735D"/>
    <w:rsid w:val="009202F6"/>
    <w:rsid w:val="00921032"/>
    <w:rsid w:val="00921B4B"/>
    <w:rsid w:val="00921E29"/>
    <w:rsid w:val="00922B55"/>
    <w:rsid w:val="00924B00"/>
    <w:rsid w:val="0092576F"/>
    <w:rsid w:val="00925B76"/>
    <w:rsid w:val="009279A5"/>
    <w:rsid w:val="00927AA6"/>
    <w:rsid w:val="009306DA"/>
    <w:rsid w:val="00930B2B"/>
    <w:rsid w:val="009363D0"/>
    <w:rsid w:val="0093761F"/>
    <w:rsid w:val="00937B6A"/>
    <w:rsid w:val="00937E73"/>
    <w:rsid w:val="009410B2"/>
    <w:rsid w:val="00941657"/>
    <w:rsid w:val="00942056"/>
    <w:rsid w:val="009431D6"/>
    <w:rsid w:val="00943A83"/>
    <w:rsid w:val="00943E6D"/>
    <w:rsid w:val="00944657"/>
    <w:rsid w:val="0094591A"/>
    <w:rsid w:val="00947830"/>
    <w:rsid w:val="009505C7"/>
    <w:rsid w:val="00950BE2"/>
    <w:rsid w:val="00951B37"/>
    <w:rsid w:val="009533C4"/>
    <w:rsid w:val="009537F4"/>
    <w:rsid w:val="0095436C"/>
    <w:rsid w:val="00956EB9"/>
    <w:rsid w:val="00956F2D"/>
    <w:rsid w:val="00957544"/>
    <w:rsid w:val="0096255D"/>
    <w:rsid w:val="00965050"/>
    <w:rsid w:val="0096507A"/>
    <w:rsid w:val="0096590F"/>
    <w:rsid w:val="009662E1"/>
    <w:rsid w:val="00967460"/>
    <w:rsid w:val="0096758C"/>
    <w:rsid w:val="0097022F"/>
    <w:rsid w:val="009736C0"/>
    <w:rsid w:val="009736F2"/>
    <w:rsid w:val="00973B0F"/>
    <w:rsid w:val="00973E90"/>
    <w:rsid w:val="00974A97"/>
    <w:rsid w:val="00976D43"/>
    <w:rsid w:val="00977A37"/>
    <w:rsid w:val="00981EA7"/>
    <w:rsid w:val="009829F6"/>
    <w:rsid w:val="00982CF9"/>
    <w:rsid w:val="00984176"/>
    <w:rsid w:val="0098620A"/>
    <w:rsid w:val="0098663E"/>
    <w:rsid w:val="00990B0C"/>
    <w:rsid w:val="00990B0D"/>
    <w:rsid w:val="00990FDD"/>
    <w:rsid w:val="009915E3"/>
    <w:rsid w:val="009929C8"/>
    <w:rsid w:val="00992C38"/>
    <w:rsid w:val="00995109"/>
    <w:rsid w:val="009951C9"/>
    <w:rsid w:val="00996741"/>
    <w:rsid w:val="00996F71"/>
    <w:rsid w:val="0099719D"/>
    <w:rsid w:val="009A02E5"/>
    <w:rsid w:val="009A1CA5"/>
    <w:rsid w:val="009A2ECE"/>
    <w:rsid w:val="009A3827"/>
    <w:rsid w:val="009A3AFB"/>
    <w:rsid w:val="009A4457"/>
    <w:rsid w:val="009A4BBD"/>
    <w:rsid w:val="009A62EA"/>
    <w:rsid w:val="009A6B0F"/>
    <w:rsid w:val="009B0080"/>
    <w:rsid w:val="009B0C19"/>
    <w:rsid w:val="009B2AD5"/>
    <w:rsid w:val="009B3B5D"/>
    <w:rsid w:val="009B444D"/>
    <w:rsid w:val="009B5986"/>
    <w:rsid w:val="009B7AAE"/>
    <w:rsid w:val="009B7FAA"/>
    <w:rsid w:val="009C1A63"/>
    <w:rsid w:val="009C235E"/>
    <w:rsid w:val="009D0235"/>
    <w:rsid w:val="009D2973"/>
    <w:rsid w:val="009D2E9E"/>
    <w:rsid w:val="009D366C"/>
    <w:rsid w:val="009D4B73"/>
    <w:rsid w:val="009D66F5"/>
    <w:rsid w:val="009D6938"/>
    <w:rsid w:val="009D7647"/>
    <w:rsid w:val="009E1C3C"/>
    <w:rsid w:val="009E22F1"/>
    <w:rsid w:val="009E398A"/>
    <w:rsid w:val="009E51EC"/>
    <w:rsid w:val="009E67EF"/>
    <w:rsid w:val="009E7177"/>
    <w:rsid w:val="009E7E43"/>
    <w:rsid w:val="009F0AC9"/>
    <w:rsid w:val="009F1589"/>
    <w:rsid w:val="009F2502"/>
    <w:rsid w:val="009F50F9"/>
    <w:rsid w:val="009F7172"/>
    <w:rsid w:val="009F7F0D"/>
    <w:rsid w:val="00A000FD"/>
    <w:rsid w:val="00A02588"/>
    <w:rsid w:val="00A025DB"/>
    <w:rsid w:val="00A03380"/>
    <w:rsid w:val="00A052AA"/>
    <w:rsid w:val="00A06561"/>
    <w:rsid w:val="00A06FF7"/>
    <w:rsid w:val="00A1081C"/>
    <w:rsid w:val="00A11B49"/>
    <w:rsid w:val="00A137A3"/>
    <w:rsid w:val="00A13DC7"/>
    <w:rsid w:val="00A14E4C"/>
    <w:rsid w:val="00A15551"/>
    <w:rsid w:val="00A17A6E"/>
    <w:rsid w:val="00A20388"/>
    <w:rsid w:val="00A20A09"/>
    <w:rsid w:val="00A21086"/>
    <w:rsid w:val="00A21FFE"/>
    <w:rsid w:val="00A232D6"/>
    <w:rsid w:val="00A23712"/>
    <w:rsid w:val="00A238F7"/>
    <w:rsid w:val="00A23922"/>
    <w:rsid w:val="00A2443E"/>
    <w:rsid w:val="00A24DA5"/>
    <w:rsid w:val="00A255DE"/>
    <w:rsid w:val="00A2569B"/>
    <w:rsid w:val="00A260C6"/>
    <w:rsid w:val="00A266A2"/>
    <w:rsid w:val="00A3015A"/>
    <w:rsid w:val="00A32837"/>
    <w:rsid w:val="00A32D6B"/>
    <w:rsid w:val="00A34704"/>
    <w:rsid w:val="00A35051"/>
    <w:rsid w:val="00A35DBA"/>
    <w:rsid w:val="00A35E94"/>
    <w:rsid w:val="00A36833"/>
    <w:rsid w:val="00A37818"/>
    <w:rsid w:val="00A37970"/>
    <w:rsid w:val="00A43B95"/>
    <w:rsid w:val="00A44CA6"/>
    <w:rsid w:val="00A456AF"/>
    <w:rsid w:val="00A46ACA"/>
    <w:rsid w:val="00A471B3"/>
    <w:rsid w:val="00A47B0B"/>
    <w:rsid w:val="00A53124"/>
    <w:rsid w:val="00A54031"/>
    <w:rsid w:val="00A57A9E"/>
    <w:rsid w:val="00A60F8C"/>
    <w:rsid w:val="00A61EDC"/>
    <w:rsid w:val="00A63DA3"/>
    <w:rsid w:val="00A66C92"/>
    <w:rsid w:val="00A67859"/>
    <w:rsid w:val="00A719D4"/>
    <w:rsid w:val="00A71F9E"/>
    <w:rsid w:val="00A71FFE"/>
    <w:rsid w:val="00A73778"/>
    <w:rsid w:val="00A75040"/>
    <w:rsid w:val="00A766E4"/>
    <w:rsid w:val="00A7674B"/>
    <w:rsid w:val="00A768E2"/>
    <w:rsid w:val="00A77A29"/>
    <w:rsid w:val="00A77B8D"/>
    <w:rsid w:val="00A77C72"/>
    <w:rsid w:val="00A80012"/>
    <w:rsid w:val="00A8069F"/>
    <w:rsid w:val="00A80AE8"/>
    <w:rsid w:val="00A81131"/>
    <w:rsid w:val="00A8230A"/>
    <w:rsid w:val="00A82382"/>
    <w:rsid w:val="00A82839"/>
    <w:rsid w:val="00A82963"/>
    <w:rsid w:val="00A83347"/>
    <w:rsid w:val="00A83443"/>
    <w:rsid w:val="00A83682"/>
    <w:rsid w:val="00A844AE"/>
    <w:rsid w:val="00A84649"/>
    <w:rsid w:val="00A90318"/>
    <w:rsid w:val="00A9088A"/>
    <w:rsid w:val="00A9088F"/>
    <w:rsid w:val="00A932E4"/>
    <w:rsid w:val="00A94F2E"/>
    <w:rsid w:val="00AA1D69"/>
    <w:rsid w:val="00AA26C9"/>
    <w:rsid w:val="00AA2AD2"/>
    <w:rsid w:val="00AA3E93"/>
    <w:rsid w:val="00AA5E8E"/>
    <w:rsid w:val="00AA64BD"/>
    <w:rsid w:val="00AA677C"/>
    <w:rsid w:val="00AA73D4"/>
    <w:rsid w:val="00AB06A9"/>
    <w:rsid w:val="00AB091A"/>
    <w:rsid w:val="00AB3749"/>
    <w:rsid w:val="00AB4BC3"/>
    <w:rsid w:val="00AB541D"/>
    <w:rsid w:val="00AB7A34"/>
    <w:rsid w:val="00AC07DE"/>
    <w:rsid w:val="00AC1024"/>
    <w:rsid w:val="00AC1E36"/>
    <w:rsid w:val="00AC2EF2"/>
    <w:rsid w:val="00AC3049"/>
    <w:rsid w:val="00AC6460"/>
    <w:rsid w:val="00AC6C96"/>
    <w:rsid w:val="00AC6CED"/>
    <w:rsid w:val="00AC7C45"/>
    <w:rsid w:val="00AD1A9F"/>
    <w:rsid w:val="00AD1E41"/>
    <w:rsid w:val="00AD211D"/>
    <w:rsid w:val="00AD2132"/>
    <w:rsid w:val="00AD268A"/>
    <w:rsid w:val="00AD30F4"/>
    <w:rsid w:val="00AD3292"/>
    <w:rsid w:val="00AD4C32"/>
    <w:rsid w:val="00AD5630"/>
    <w:rsid w:val="00AD5AF1"/>
    <w:rsid w:val="00AD6BC2"/>
    <w:rsid w:val="00AD74DD"/>
    <w:rsid w:val="00AE0441"/>
    <w:rsid w:val="00AE2D18"/>
    <w:rsid w:val="00AE5132"/>
    <w:rsid w:val="00AE6705"/>
    <w:rsid w:val="00AE6ADB"/>
    <w:rsid w:val="00AE6DED"/>
    <w:rsid w:val="00AF043F"/>
    <w:rsid w:val="00AF10BE"/>
    <w:rsid w:val="00AF31F8"/>
    <w:rsid w:val="00AF32C0"/>
    <w:rsid w:val="00AF4153"/>
    <w:rsid w:val="00AF423B"/>
    <w:rsid w:val="00AF4DB9"/>
    <w:rsid w:val="00AF504E"/>
    <w:rsid w:val="00AF628D"/>
    <w:rsid w:val="00B00ADE"/>
    <w:rsid w:val="00B01A99"/>
    <w:rsid w:val="00B02FF7"/>
    <w:rsid w:val="00B041BF"/>
    <w:rsid w:val="00B04A18"/>
    <w:rsid w:val="00B05515"/>
    <w:rsid w:val="00B05819"/>
    <w:rsid w:val="00B0763E"/>
    <w:rsid w:val="00B10BBA"/>
    <w:rsid w:val="00B11380"/>
    <w:rsid w:val="00B121EF"/>
    <w:rsid w:val="00B1285C"/>
    <w:rsid w:val="00B13B0B"/>
    <w:rsid w:val="00B149ED"/>
    <w:rsid w:val="00B14A99"/>
    <w:rsid w:val="00B14D82"/>
    <w:rsid w:val="00B14E82"/>
    <w:rsid w:val="00B14EB8"/>
    <w:rsid w:val="00B16E72"/>
    <w:rsid w:val="00B17F3A"/>
    <w:rsid w:val="00B2122A"/>
    <w:rsid w:val="00B22CFC"/>
    <w:rsid w:val="00B23063"/>
    <w:rsid w:val="00B2396E"/>
    <w:rsid w:val="00B23F65"/>
    <w:rsid w:val="00B25E95"/>
    <w:rsid w:val="00B266FE"/>
    <w:rsid w:val="00B30688"/>
    <w:rsid w:val="00B316AB"/>
    <w:rsid w:val="00B317F9"/>
    <w:rsid w:val="00B3306E"/>
    <w:rsid w:val="00B34232"/>
    <w:rsid w:val="00B34425"/>
    <w:rsid w:val="00B346CB"/>
    <w:rsid w:val="00B34AEA"/>
    <w:rsid w:val="00B3686A"/>
    <w:rsid w:val="00B42A05"/>
    <w:rsid w:val="00B4368E"/>
    <w:rsid w:val="00B43878"/>
    <w:rsid w:val="00B43A76"/>
    <w:rsid w:val="00B452FE"/>
    <w:rsid w:val="00B4567E"/>
    <w:rsid w:val="00B463DC"/>
    <w:rsid w:val="00B469A8"/>
    <w:rsid w:val="00B47C41"/>
    <w:rsid w:val="00B47F7F"/>
    <w:rsid w:val="00B527D3"/>
    <w:rsid w:val="00B52D89"/>
    <w:rsid w:val="00B52E23"/>
    <w:rsid w:val="00B538B4"/>
    <w:rsid w:val="00B5537B"/>
    <w:rsid w:val="00B56414"/>
    <w:rsid w:val="00B5786C"/>
    <w:rsid w:val="00B60AEC"/>
    <w:rsid w:val="00B61356"/>
    <w:rsid w:val="00B614CE"/>
    <w:rsid w:val="00B62F02"/>
    <w:rsid w:val="00B6386C"/>
    <w:rsid w:val="00B655AC"/>
    <w:rsid w:val="00B7016B"/>
    <w:rsid w:val="00B70D5D"/>
    <w:rsid w:val="00B73776"/>
    <w:rsid w:val="00B80012"/>
    <w:rsid w:val="00B8012D"/>
    <w:rsid w:val="00B8025B"/>
    <w:rsid w:val="00B803EA"/>
    <w:rsid w:val="00B81551"/>
    <w:rsid w:val="00B817E9"/>
    <w:rsid w:val="00B835F6"/>
    <w:rsid w:val="00B8474C"/>
    <w:rsid w:val="00B85491"/>
    <w:rsid w:val="00B8586E"/>
    <w:rsid w:val="00B86536"/>
    <w:rsid w:val="00B86E6F"/>
    <w:rsid w:val="00B87A42"/>
    <w:rsid w:val="00B87DB3"/>
    <w:rsid w:val="00B90A58"/>
    <w:rsid w:val="00B914CB"/>
    <w:rsid w:val="00B915F1"/>
    <w:rsid w:val="00B92250"/>
    <w:rsid w:val="00B92BC2"/>
    <w:rsid w:val="00B93CD9"/>
    <w:rsid w:val="00B952D0"/>
    <w:rsid w:val="00B95C12"/>
    <w:rsid w:val="00B9638C"/>
    <w:rsid w:val="00B966A8"/>
    <w:rsid w:val="00B9787F"/>
    <w:rsid w:val="00BA13A8"/>
    <w:rsid w:val="00BA151F"/>
    <w:rsid w:val="00BA1589"/>
    <w:rsid w:val="00BA268D"/>
    <w:rsid w:val="00BA5CDA"/>
    <w:rsid w:val="00BB1F15"/>
    <w:rsid w:val="00BB26D5"/>
    <w:rsid w:val="00BB2765"/>
    <w:rsid w:val="00BB2DD8"/>
    <w:rsid w:val="00BB4990"/>
    <w:rsid w:val="00BB4D48"/>
    <w:rsid w:val="00BB5226"/>
    <w:rsid w:val="00BB5E77"/>
    <w:rsid w:val="00BB6889"/>
    <w:rsid w:val="00BB77A1"/>
    <w:rsid w:val="00BC024B"/>
    <w:rsid w:val="00BC08E2"/>
    <w:rsid w:val="00BC163D"/>
    <w:rsid w:val="00BC19EE"/>
    <w:rsid w:val="00BC1CCE"/>
    <w:rsid w:val="00BC2788"/>
    <w:rsid w:val="00BC40F5"/>
    <w:rsid w:val="00BC4DAF"/>
    <w:rsid w:val="00BC5007"/>
    <w:rsid w:val="00BC541D"/>
    <w:rsid w:val="00BC5A4B"/>
    <w:rsid w:val="00BC702B"/>
    <w:rsid w:val="00BD04B8"/>
    <w:rsid w:val="00BD0932"/>
    <w:rsid w:val="00BD0BB1"/>
    <w:rsid w:val="00BD10B6"/>
    <w:rsid w:val="00BE17A0"/>
    <w:rsid w:val="00BE2143"/>
    <w:rsid w:val="00BE547B"/>
    <w:rsid w:val="00BE55D5"/>
    <w:rsid w:val="00BE6B96"/>
    <w:rsid w:val="00BF08ED"/>
    <w:rsid w:val="00BF1809"/>
    <w:rsid w:val="00BF2495"/>
    <w:rsid w:val="00BF2A16"/>
    <w:rsid w:val="00BF2E99"/>
    <w:rsid w:val="00BF3158"/>
    <w:rsid w:val="00BF4886"/>
    <w:rsid w:val="00BF4B35"/>
    <w:rsid w:val="00BF64F2"/>
    <w:rsid w:val="00BF6C89"/>
    <w:rsid w:val="00BF75BD"/>
    <w:rsid w:val="00C011FC"/>
    <w:rsid w:val="00C01A34"/>
    <w:rsid w:val="00C01F81"/>
    <w:rsid w:val="00C041DD"/>
    <w:rsid w:val="00C043C5"/>
    <w:rsid w:val="00C04913"/>
    <w:rsid w:val="00C05A2E"/>
    <w:rsid w:val="00C05D3A"/>
    <w:rsid w:val="00C10469"/>
    <w:rsid w:val="00C10D03"/>
    <w:rsid w:val="00C13470"/>
    <w:rsid w:val="00C143B1"/>
    <w:rsid w:val="00C143DE"/>
    <w:rsid w:val="00C149B2"/>
    <w:rsid w:val="00C14C2A"/>
    <w:rsid w:val="00C14CF9"/>
    <w:rsid w:val="00C1504D"/>
    <w:rsid w:val="00C15867"/>
    <w:rsid w:val="00C16537"/>
    <w:rsid w:val="00C17004"/>
    <w:rsid w:val="00C1739E"/>
    <w:rsid w:val="00C2250F"/>
    <w:rsid w:val="00C2274E"/>
    <w:rsid w:val="00C227B4"/>
    <w:rsid w:val="00C2281A"/>
    <w:rsid w:val="00C22919"/>
    <w:rsid w:val="00C231DC"/>
    <w:rsid w:val="00C240C4"/>
    <w:rsid w:val="00C2506A"/>
    <w:rsid w:val="00C26E9D"/>
    <w:rsid w:val="00C31355"/>
    <w:rsid w:val="00C31775"/>
    <w:rsid w:val="00C32D43"/>
    <w:rsid w:val="00C33670"/>
    <w:rsid w:val="00C337F3"/>
    <w:rsid w:val="00C35200"/>
    <w:rsid w:val="00C35528"/>
    <w:rsid w:val="00C35B76"/>
    <w:rsid w:val="00C361BF"/>
    <w:rsid w:val="00C3648D"/>
    <w:rsid w:val="00C37395"/>
    <w:rsid w:val="00C37801"/>
    <w:rsid w:val="00C402E5"/>
    <w:rsid w:val="00C4221C"/>
    <w:rsid w:val="00C42A48"/>
    <w:rsid w:val="00C449C1"/>
    <w:rsid w:val="00C44AA5"/>
    <w:rsid w:val="00C44E80"/>
    <w:rsid w:val="00C44FBE"/>
    <w:rsid w:val="00C51153"/>
    <w:rsid w:val="00C528AC"/>
    <w:rsid w:val="00C53561"/>
    <w:rsid w:val="00C53956"/>
    <w:rsid w:val="00C5429F"/>
    <w:rsid w:val="00C568A4"/>
    <w:rsid w:val="00C56AA9"/>
    <w:rsid w:val="00C60A69"/>
    <w:rsid w:val="00C6278C"/>
    <w:rsid w:val="00C63B4B"/>
    <w:rsid w:val="00C66E45"/>
    <w:rsid w:val="00C71153"/>
    <w:rsid w:val="00C71A2D"/>
    <w:rsid w:val="00C72BCC"/>
    <w:rsid w:val="00C72D4B"/>
    <w:rsid w:val="00C73BD1"/>
    <w:rsid w:val="00C741B6"/>
    <w:rsid w:val="00C74928"/>
    <w:rsid w:val="00C75ABA"/>
    <w:rsid w:val="00C75B0C"/>
    <w:rsid w:val="00C76B92"/>
    <w:rsid w:val="00C77807"/>
    <w:rsid w:val="00C81029"/>
    <w:rsid w:val="00C81B7D"/>
    <w:rsid w:val="00C82A29"/>
    <w:rsid w:val="00C8646E"/>
    <w:rsid w:val="00C8686B"/>
    <w:rsid w:val="00C86A6D"/>
    <w:rsid w:val="00C86EFA"/>
    <w:rsid w:val="00C873C0"/>
    <w:rsid w:val="00C904D4"/>
    <w:rsid w:val="00C90B5C"/>
    <w:rsid w:val="00C90FA8"/>
    <w:rsid w:val="00C913A0"/>
    <w:rsid w:val="00C91A5C"/>
    <w:rsid w:val="00C92B80"/>
    <w:rsid w:val="00C92C17"/>
    <w:rsid w:val="00C92CBA"/>
    <w:rsid w:val="00C9304F"/>
    <w:rsid w:val="00C93B3F"/>
    <w:rsid w:val="00C9508C"/>
    <w:rsid w:val="00C96C1B"/>
    <w:rsid w:val="00C973D6"/>
    <w:rsid w:val="00C97448"/>
    <w:rsid w:val="00CA0B01"/>
    <w:rsid w:val="00CA0FF3"/>
    <w:rsid w:val="00CA1394"/>
    <w:rsid w:val="00CA168A"/>
    <w:rsid w:val="00CA2DE5"/>
    <w:rsid w:val="00CA2F53"/>
    <w:rsid w:val="00CA4685"/>
    <w:rsid w:val="00CA49E7"/>
    <w:rsid w:val="00CA4ED1"/>
    <w:rsid w:val="00CA64DA"/>
    <w:rsid w:val="00CA7E73"/>
    <w:rsid w:val="00CB0F5C"/>
    <w:rsid w:val="00CB1092"/>
    <w:rsid w:val="00CB2E55"/>
    <w:rsid w:val="00CB334E"/>
    <w:rsid w:val="00CB3751"/>
    <w:rsid w:val="00CB383F"/>
    <w:rsid w:val="00CB3B2E"/>
    <w:rsid w:val="00CB4B9E"/>
    <w:rsid w:val="00CB4F81"/>
    <w:rsid w:val="00CB55D4"/>
    <w:rsid w:val="00CB618C"/>
    <w:rsid w:val="00CB693C"/>
    <w:rsid w:val="00CC1EE8"/>
    <w:rsid w:val="00CC237A"/>
    <w:rsid w:val="00CC5F66"/>
    <w:rsid w:val="00CC6032"/>
    <w:rsid w:val="00CD0E31"/>
    <w:rsid w:val="00CD1980"/>
    <w:rsid w:val="00CD3225"/>
    <w:rsid w:val="00CD3973"/>
    <w:rsid w:val="00CD50A9"/>
    <w:rsid w:val="00CD667E"/>
    <w:rsid w:val="00CE11F9"/>
    <w:rsid w:val="00CE1A87"/>
    <w:rsid w:val="00CE3A3C"/>
    <w:rsid w:val="00CE47E9"/>
    <w:rsid w:val="00CE4BD2"/>
    <w:rsid w:val="00CF00A2"/>
    <w:rsid w:val="00CF0120"/>
    <w:rsid w:val="00CF1516"/>
    <w:rsid w:val="00CF241E"/>
    <w:rsid w:val="00CF246D"/>
    <w:rsid w:val="00CF5DF4"/>
    <w:rsid w:val="00CF6409"/>
    <w:rsid w:val="00CF6978"/>
    <w:rsid w:val="00CF6A02"/>
    <w:rsid w:val="00CF7874"/>
    <w:rsid w:val="00D0012F"/>
    <w:rsid w:val="00D0175E"/>
    <w:rsid w:val="00D01910"/>
    <w:rsid w:val="00D01DFA"/>
    <w:rsid w:val="00D0327E"/>
    <w:rsid w:val="00D033FF"/>
    <w:rsid w:val="00D038CA"/>
    <w:rsid w:val="00D067C0"/>
    <w:rsid w:val="00D06890"/>
    <w:rsid w:val="00D07F73"/>
    <w:rsid w:val="00D10282"/>
    <w:rsid w:val="00D10775"/>
    <w:rsid w:val="00D1331A"/>
    <w:rsid w:val="00D14A69"/>
    <w:rsid w:val="00D21233"/>
    <w:rsid w:val="00D23BD3"/>
    <w:rsid w:val="00D26D72"/>
    <w:rsid w:val="00D26EA6"/>
    <w:rsid w:val="00D3039C"/>
    <w:rsid w:val="00D31007"/>
    <w:rsid w:val="00D3260C"/>
    <w:rsid w:val="00D3287B"/>
    <w:rsid w:val="00D32CC9"/>
    <w:rsid w:val="00D33F38"/>
    <w:rsid w:val="00D3570A"/>
    <w:rsid w:val="00D4024A"/>
    <w:rsid w:val="00D40C8A"/>
    <w:rsid w:val="00D424CA"/>
    <w:rsid w:val="00D441EF"/>
    <w:rsid w:val="00D44CA0"/>
    <w:rsid w:val="00D500EF"/>
    <w:rsid w:val="00D5089A"/>
    <w:rsid w:val="00D50B70"/>
    <w:rsid w:val="00D52114"/>
    <w:rsid w:val="00D5259D"/>
    <w:rsid w:val="00D52E3B"/>
    <w:rsid w:val="00D53384"/>
    <w:rsid w:val="00D543EC"/>
    <w:rsid w:val="00D54BC3"/>
    <w:rsid w:val="00D64233"/>
    <w:rsid w:val="00D66434"/>
    <w:rsid w:val="00D665C9"/>
    <w:rsid w:val="00D66610"/>
    <w:rsid w:val="00D73048"/>
    <w:rsid w:val="00D736CF"/>
    <w:rsid w:val="00D7471D"/>
    <w:rsid w:val="00D74868"/>
    <w:rsid w:val="00D7617C"/>
    <w:rsid w:val="00D77827"/>
    <w:rsid w:val="00D807FA"/>
    <w:rsid w:val="00D819E7"/>
    <w:rsid w:val="00D82D6D"/>
    <w:rsid w:val="00D83473"/>
    <w:rsid w:val="00D83C24"/>
    <w:rsid w:val="00D84DDC"/>
    <w:rsid w:val="00D878DA"/>
    <w:rsid w:val="00D91F25"/>
    <w:rsid w:val="00D92C5F"/>
    <w:rsid w:val="00D93EE9"/>
    <w:rsid w:val="00D93F06"/>
    <w:rsid w:val="00D943B8"/>
    <w:rsid w:val="00D94FA8"/>
    <w:rsid w:val="00D95A44"/>
    <w:rsid w:val="00D96018"/>
    <w:rsid w:val="00D975B6"/>
    <w:rsid w:val="00D97C93"/>
    <w:rsid w:val="00DA0288"/>
    <w:rsid w:val="00DA02DB"/>
    <w:rsid w:val="00DA0891"/>
    <w:rsid w:val="00DA1881"/>
    <w:rsid w:val="00DA3210"/>
    <w:rsid w:val="00DA6532"/>
    <w:rsid w:val="00DA6F18"/>
    <w:rsid w:val="00DB1309"/>
    <w:rsid w:val="00DB49F0"/>
    <w:rsid w:val="00DB6694"/>
    <w:rsid w:val="00DB6A8A"/>
    <w:rsid w:val="00DB74AA"/>
    <w:rsid w:val="00DC0592"/>
    <w:rsid w:val="00DC19C5"/>
    <w:rsid w:val="00DC2D2E"/>
    <w:rsid w:val="00DC35F0"/>
    <w:rsid w:val="00DC7F22"/>
    <w:rsid w:val="00DD004D"/>
    <w:rsid w:val="00DD05AB"/>
    <w:rsid w:val="00DD07F1"/>
    <w:rsid w:val="00DD0A73"/>
    <w:rsid w:val="00DD2B6A"/>
    <w:rsid w:val="00DD2FB2"/>
    <w:rsid w:val="00DD5ED1"/>
    <w:rsid w:val="00DE123B"/>
    <w:rsid w:val="00DE1C60"/>
    <w:rsid w:val="00DE2F6C"/>
    <w:rsid w:val="00DE3FBB"/>
    <w:rsid w:val="00DE4931"/>
    <w:rsid w:val="00DE5B9C"/>
    <w:rsid w:val="00DE7E55"/>
    <w:rsid w:val="00DF0D5E"/>
    <w:rsid w:val="00DF1A24"/>
    <w:rsid w:val="00DF3762"/>
    <w:rsid w:val="00DF42CF"/>
    <w:rsid w:val="00DF7508"/>
    <w:rsid w:val="00E00E6A"/>
    <w:rsid w:val="00E0139B"/>
    <w:rsid w:val="00E01722"/>
    <w:rsid w:val="00E01737"/>
    <w:rsid w:val="00E01F42"/>
    <w:rsid w:val="00E028BF"/>
    <w:rsid w:val="00E02B93"/>
    <w:rsid w:val="00E03434"/>
    <w:rsid w:val="00E04CD6"/>
    <w:rsid w:val="00E05A08"/>
    <w:rsid w:val="00E05A27"/>
    <w:rsid w:val="00E07915"/>
    <w:rsid w:val="00E07966"/>
    <w:rsid w:val="00E101C8"/>
    <w:rsid w:val="00E21E51"/>
    <w:rsid w:val="00E23382"/>
    <w:rsid w:val="00E233F2"/>
    <w:rsid w:val="00E24480"/>
    <w:rsid w:val="00E24F96"/>
    <w:rsid w:val="00E25427"/>
    <w:rsid w:val="00E2599D"/>
    <w:rsid w:val="00E34288"/>
    <w:rsid w:val="00E34F9A"/>
    <w:rsid w:val="00E350A9"/>
    <w:rsid w:val="00E35EEC"/>
    <w:rsid w:val="00E373E2"/>
    <w:rsid w:val="00E37A99"/>
    <w:rsid w:val="00E4004B"/>
    <w:rsid w:val="00E4081F"/>
    <w:rsid w:val="00E43EB3"/>
    <w:rsid w:val="00E43FCD"/>
    <w:rsid w:val="00E44426"/>
    <w:rsid w:val="00E444D2"/>
    <w:rsid w:val="00E44A3A"/>
    <w:rsid w:val="00E45E53"/>
    <w:rsid w:val="00E462AA"/>
    <w:rsid w:val="00E46B63"/>
    <w:rsid w:val="00E50193"/>
    <w:rsid w:val="00E50265"/>
    <w:rsid w:val="00E50728"/>
    <w:rsid w:val="00E508D1"/>
    <w:rsid w:val="00E51BBC"/>
    <w:rsid w:val="00E547AA"/>
    <w:rsid w:val="00E55DBB"/>
    <w:rsid w:val="00E56425"/>
    <w:rsid w:val="00E611DB"/>
    <w:rsid w:val="00E619F6"/>
    <w:rsid w:val="00E646B8"/>
    <w:rsid w:val="00E64CC6"/>
    <w:rsid w:val="00E64F2E"/>
    <w:rsid w:val="00E66B72"/>
    <w:rsid w:val="00E676C1"/>
    <w:rsid w:val="00E676CF"/>
    <w:rsid w:val="00E70508"/>
    <w:rsid w:val="00E7118B"/>
    <w:rsid w:val="00E7146A"/>
    <w:rsid w:val="00E74716"/>
    <w:rsid w:val="00E74AE7"/>
    <w:rsid w:val="00E756A2"/>
    <w:rsid w:val="00E75A6A"/>
    <w:rsid w:val="00E75C33"/>
    <w:rsid w:val="00E765D1"/>
    <w:rsid w:val="00E801C8"/>
    <w:rsid w:val="00E805EE"/>
    <w:rsid w:val="00E8245E"/>
    <w:rsid w:val="00E83500"/>
    <w:rsid w:val="00E85258"/>
    <w:rsid w:val="00E8630B"/>
    <w:rsid w:val="00E87DCA"/>
    <w:rsid w:val="00E87EAB"/>
    <w:rsid w:val="00E90B63"/>
    <w:rsid w:val="00E9346A"/>
    <w:rsid w:val="00E93D77"/>
    <w:rsid w:val="00E94B38"/>
    <w:rsid w:val="00E9541D"/>
    <w:rsid w:val="00E95FBA"/>
    <w:rsid w:val="00E97758"/>
    <w:rsid w:val="00EA0AEC"/>
    <w:rsid w:val="00EA3D48"/>
    <w:rsid w:val="00EA4567"/>
    <w:rsid w:val="00EA5D28"/>
    <w:rsid w:val="00EA6F13"/>
    <w:rsid w:val="00EB3394"/>
    <w:rsid w:val="00EB3BF9"/>
    <w:rsid w:val="00EB6152"/>
    <w:rsid w:val="00EC068A"/>
    <w:rsid w:val="00EC24D8"/>
    <w:rsid w:val="00EC30AF"/>
    <w:rsid w:val="00EC3248"/>
    <w:rsid w:val="00EC3D17"/>
    <w:rsid w:val="00EC42E6"/>
    <w:rsid w:val="00EC4D06"/>
    <w:rsid w:val="00EC5373"/>
    <w:rsid w:val="00EC5CD9"/>
    <w:rsid w:val="00EC6FB0"/>
    <w:rsid w:val="00ED125A"/>
    <w:rsid w:val="00ED5CA8"/>
    <w:rsid w:val="00ED6871"/>
    <w:rsid w:val="00ED74EC"/>
    <w:rsid w:val="00ED7592"/>
    <w:rsid w:val="00EE05D1"/>
    <w:rsid w:val="00EE1395"/>
    <w:rsid w:val="00EE28A6"/>
    <w:rsid w:val="00EE28FE"/>
    <w:rsid w:val="00EE5727"/>
    <w:rsid w:val="00EE60E5"/>
    <w:rsid w:val="00EE6875"/>
    <w:rsid w:val="00EE68C2"/>
    <w:rsid w:val="00EE6C20"/>
    <w:rsid w:val="00EF1098"/>
    <w:rsid w:val="00EF1539"/>
    <w:rsid w:val="00EF3552"/>
    <w:rsid w:val="00EF3FA8"/>
    <w:rsid w:val="00EF4CAE"/>
    <w:rsid w:val="00EF54BD"/>
    <w:rsid w:val="00EF551F"/>
    <w:rsid w:val="00EF6C69"/>
    <w:rsid w:val="00EF6D9C"/>
    <w:rsid w:val="00EF7EB2"/>
    <w:rsid w:val="00F00A73"/>
    <w:rsid w:val="00F0111C"/>
    <w:rsid w:val="00F01A8C"/>
    <w:rsid w:val="00F02072"/>
    <w:rsid w:val="00F05A6A"/>
    <w:rsid w:val="00F06FC6"/>
    <w:rsid w:val="00F076C7"/>
    <w:rsid w:val="00F077E7"/>
    <w:rsid w:val="00F1013B"/>
    <w:rsid w:val="00F121C3"/>
    <w:rsid w:val="00F1377B"/>
    <w:rsid w:val="00F142A6"/>
    <w:rsid w:val="00F14772"/>
    <w:rsid w:val="00F167E6"/>
    <w:rsid w:val="00F1692D"/>
    <w:rsid w:val="00F16C4B"/>
    <w:rsid w:val="00F17914"/>
    <w:rsid w:val="00F2091E"/>
    <w:rsid w:val="00F20ACC"/>
    <w:rsid w:val="00F20B6C"/>
    <w:rsid w:val="00F21C73"/>
    <w:rsid w:val="00F22B3F"/>
    <w:rsid w:val="00F23542"/>
    <w:rsid w:val="00F24356"/>
    <w:rsid w:val="00F24566"/>
    <w:rsid w:val="00F255D3"/>
    <w:rsid w:val="00F25D5E"/>
    <w:rsid w:val="00F25E11"/>
    <w:rsid w:val="00F30E62"/>
    <w:rsid w:val="00F31B6E"/>
    <w:rsid w:val="00F31F25"/>
    <w:rsid w:val="00F329D4"/>
    <w:rsid w:val="00F34E29"/>
    <w:rsid w:val="00F3511A"/>
    <w:rsid w:val="00F40136"/>
    <w:rsid w:val="00F41345"/>
    <w:rsid w:val="00F4340C"/>
    <w:rsid w:val="00F4367A"/>
    <w:rsid w:val="00F44486"/>
    <w:rsid w:val="00F462F8"/>
    <w:rsid w:val="00F46356"/>
    <w:rsid w:val="00F463F3"/>
    <w:rsid w:val="00F46CB7"/>
    <w:rsid w:val="00F46E29"/>
    <w:rsid w:val="00F47D2B"/>
    <w:rsid w:val="00F502C4"/>
    <w:rsid w:val="00F53223"/>
    <w:rsid w:val="00F53CE2"/>
    <w:rsid w:val="00F55851"/>
    <w:rsid w:val="00F573C2"/>
    <w:rsid w:val="00F5747D"/>
    <w:rsid w:val="00F57995"/>
    <w:rsid w:val="00F6001D"/>
    <w:rsid w:val="00F60D12"/>
    <w:rsid w:val="00F615A9"/>
    <w:rsid w:val="00F616AD"/>
    <w:rsid w:val="00F6224D"/>
    <w:rsid w:val="00F63487"/>
    <w:rsid w:val="00F636F4"/>
    <w:rsid w:val="00F63D92"/>
    <w:rsid w:val="00F63FBF"/>
    <w:rsid w:val="00F641DA"/>
    <w:rsid w:val="00F645ED"/>
    <w:rsid w:val="00F654F4"/>
    <w:rsid w:val="00F66F86"/>
    <w:rsid w:val="00F67F17"/>
    <w:rsid w:val="00F71927"/>
    <w:rsid w:val="00F71A57"/>
    <w:rsid w:val="00F7298C"/>
    <w:rsid w:val="00F72C41"/>
    <w:rsid w:val="00F74748"/>
    <w:rsid w:val="00F7549B"/>
    <w:rsid w:val="00F75598"/>
    <w:rsid w:val="00F76B61"/>
    <w:rsid w:val="00F77EA0"/>
    <w:rsid w:val="00F80279"/>
    <w:rsid w:val="00F80B77"/>
    <w:rsid w:val="00F80E37"/>
    <w:rsid w:val="00F81193"/>
    <w:rsid w:val="00F816C2"/>
    <w:rsid w:val="00F81BB5"/>
    <w:rsid w:val="00F82BBF"/>
    <w:rsid w:val="00F83581"/>
    <w:rsid w:val="00F878C6"/>
    <w:rsid w:val="00F87AA0"/>
    <w:rsid w:val="00F87E0F"/>
    <w:rsid w:val="00F9010E"/>
    <w:rsid w:val="00F90B0C"/>
    <w:rsid w:val="00F918BD"/>
    <w:rsid w:val="00F91BFB"/>
    <w:rsid w:val="00F91E06"/>
    <w:rsid w:val="00F9462B"/>
    <w:rsid w:val="00F948E1"/>
    <w:rsid w:val="00F95537"/>
    <w:rsid w:val="00F96498"/>
    <w:rsid w:val="00F96D5D"/>
    <w:rsid w:val="00F97F9F"/>
    <w:rsid w:val="00FA00E2"/>
    <w:rsid w:val="00FA0EDA"/>
    <w:rsid w:val="00FA2CFF"/>
    <w:rsid w:val="00FA2FF9"/>
    <w:rsid w:val="00FA36B7"/>
    <w:rsid w:val="00FA4385"/>
    <w:rsid w:val="00FA5ABC"/>
    <w:rsid w:val="00FA7258"/>
    <w:rsid w:val="00FB08E2"/>
    <w:rsid w:val="00FB14CD"/>
    <w:rsid w:val="00FB2F6D"/>
    <w:rsid w:val="00FB370E"/>
    <w:rsid w:val="00FB5DF3"/>
    <w:rsid w:val="00FB76C6"/>
    <w:rsid w:val="00FB7889"/>
    <w:rsid w:val="00FB7A1B"/>
    <w:rsid w:val="00FC03CE"/>
    <w:rsid w:val="00FC0F71"/>
    <w:rsid w:val="00FC2EC9"/>
    <w:rsid w:val="00FC35F9"/>
    <w:rsid w:val="00FC3A80"/>
    <w:rsid w:val="00FC6E6E"/>
    <w:rsid w:val="00FC7C2C"/>
    <w:rsid w:val="00FD0234"/>
    <w:rsid w:val="00FD0B1D"/>
    <w:rsid w:val="00FD359F"/>
    <w:rsid w:val="00FD577D"/>
    <w:rsid w:val="00FE2B0D"/>
    <w:rsid w:val="00FE3714"/>
    <w:rsid w:val="00FE3DD3"/>
    <w:rsid w:val="00FE5DDF"/>
    <w:rsid w:val="00FE6851"/>
    <w:rsid w:val="00FE6922"/>
    <w:rsid w:val="00FE6AC6"/>
    <w:rsid w:val="00FF0C91"/>
    <w:rsid w:val="00FF3FD1"/>
    <w:rsid w:val="00FF56EE"/>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D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9"/>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uiPriority w:val="99"/>
    <w:rsid w:val="006A5A42"/>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9"/>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uiPriority w:val="99"/>
    <w:rsid w:val="006A5A4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18762775">
      <w:bodyDiv w:val="1"/>
      <w:marLeft w:val="0"/>
      <w:marRight w:val="0"/>
      <w:marTop w:val="0"/>
      <w:marBottom w:val="0"/>
      <w:divBdr>
        <w:top w:val="none" w:sz="0" w:space="0" w:color="auto"/>
        <w:left w:val="none" w:sz="0" w:space="0" w:color="auto"/>
        <w:bottom w:val="none" w:sz="0" w:space="0" w:color="auto"/>
        <w:right w:val="none" w:sz="0" w:space="0" w:color="auto"/>
      </w:divBdr>
    </w:div>
    <w:div w:id="165094992">
      <w:bodyDiv w:val="1"/>
      <w:marLeft w:val="0"/>
      <w:marRight w:val="0"/>
      <w:marTop w:val="0"/>
      <w:marBottom w:val="0"/>
      <w:divBdr>
        <w:top w:val="none" w:sz="0" w:space="0" w:color="auto"/>
        <w:left w:val="none" w:sz="0" w:space="0" w:color="auto"/>
        <w:bottom w:val="none" w:sz="0" w:space="0" w:color="auto"/>
        <w:right w:val="none" w:sz="0" w:space="0" w:color="auto"/>
      </w:divBdr>
      <w:divsChild>
        <w:div w:id="1913735417">
          <w:marLeft w:val="0"/>
          <w:marRight w:val="0"/>
          <w:marTop w:val="100"/>
          <w:marBottom w:val="100"/>
          <w:divBdr>
            <w:top w:val="none" w:sz="0" w:space="0" w:color="auto"/>
            <w:left w:val="none" w:sz="0" w:space="0" w:color="auto"/>
            <w:bottom w:val="none" w:sz="0" w:space="0" w:color="auto"/>
            <w:right w:val="none" w:sz="0" w:space="0" w:color="auto"/>
          </w:divBdr>
          <w:divsChild>
            <w:div w:id="736785629">
              <w:marLeft w:val="0"/>
              <w:marRight w:val="0"/>
              <w:marTop w:val="0"/>
              <w:marBottom w:val="420"/>
              <w:divBdr>
                <w:top w:val="none" w:sz="0" w:space="0" w:color="auto"/>
                <w:left w:val="none" w:sz="0" w:space="0" w:color="auto"/>
                <w:bottom w:val="none" w:sz="0" w:space="0" w:color="auto"/>
                <w:right w:val="none" w:sz="0" w:space="0" w:color="auto"/>
              </w:divBdr>
              <w:divsChild>
                <w:div w:id="1724909226">
                  <w:marLeft w:val="0"/>
                  <w:marRight w:val="0"/>
                  <w:marTop w:val="0"/>
                  <w:marBottom w:val="0"/>
                  <w:divBdr>
                    <w:top w:val="none" w:sz="0" w:space="0" w:color="auto"/>
                    <w:left w:val="none" w:sz="0" w:space="0" w:color="auto"/>
                    <w:bottom w:val="none" w:sz="0" w:space="0" w:color="auto"/>
                    <w:right w:val="none" w:sz="0" w:space="0" w:color="auto"/>
                  </w:divBdr>
                  <w:divsChild>
                    <w:div w:id="43914831">
                      <w:marLeft w:val="0"/>
                      <w:marRight w:val="0"/>
                      <w:marTop w:val="0"/>
                      <w:marBottom w:val="0"/>
                      <w:divBdr>
                        <w:top w:val="none" w:sz="0" w:space="0" w:color="auto"/>
                        <w:left w:val="none" w:sz="0" w:space="0" w:color="auto"/>
                        <w:bottom w:val="none" w:sz="0" w:space="0" w:color="auto"/>
                        <w:right w:val="none" w:sz="0" w:space="0" w:color="auto"/>
                      </w:divBdr>
                      <w:divsChild>
                        <w:div w:id="76636303">
                          <w:marLeft w:val="0"/>
                          <w:marRight w:val="0"/>
                          <w:marTop w:val="0"/>
                          <w:marBottom w:val="0"/>
                          <w:divBdr>
                            <w:top w:val="none" w:sz="0" w:space="0" w:color="auto"/>
                            <w:left w:val="none" w:sz="0" w:space="0" w:color="auto"/>
                            <w:bottom w:val="none" w:sz="0" w:space="0" w:color="auto"/>
                            <w:right w:val="none" w:sz="0" w:space="0" w:color="auto"/>
                          </w:divBdr>
                          <w:divsChild>
                            <w:div w:id="1187406184">
                              <w:marLeft w:val="0"/>
                              <w:marRight w:val="0"/>
                              <w:marTop w:val="0"/>
                              <w:marBottom w:val="0"/>
                              <w:divBdr>
                                <w:top w:val="none" w:sz="0" w:space="0" w:color="auto"/>
                                <w:left w:val="none" w:sz="0" w:space="0" w:color="auto"/>
                                <w:bottom w:val="none" w:sz="0" w:space="0" w:color="auto"/>
                                <w:right w:val="none" w:sz="0" w:space="0" w:color="auto"/>
                              </w:divBdr>
                              <w:divsChild>
                                <w:div w:id="1650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95325">
      <w:bodyDiv w:val="1"/>
      <w:marLeft w:val="0"/>
      <w:marRight w:val="0"/>
      <w:marTop w:val="0"/>
      <w:marBottom w:val="0"/>
      <w:divBdr>
        <w:top w:val="none" w:sz="0" w:space="0" w:color="auto"/>
        <w:left w:val="none" w:sz="0" w:space="0" w:color="auto"/>
        <w:bottom w:val="none" w:sz="0" w:space="0" w:color="auto"/>
        <w:right w:val="none" w:sz="0" w:space="0" w:color="auto"/>
      </w:divBdr>
    </w:div>
    <w:div w:id="244269367">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295451970">
      <w:bodyDiv w:val="1"/>
      <w:marLeft w:val="0"/>
      <w:marRight w:val="0"/>
      <w:marTop w:val="0"/>
      <w:marBottom w:val="0"/>
      <w:divBdr>
        <w:top w:val="none" w:sz="0" w:space="0" w:color="auto"/>
        <w:left w:val="none" w:sz="0" w:space="0" w:color="auto"/>
        <w:bottom w:val="none" w:sz="0" w:space="0" w:color="auto"/>
        <w:right w:val="none" w:sz="0" w:space="0" w:color="auto"/>
      </w:divBdr>
    </w:div>
    <w:div w:id="362485011">
      <w:bodyDiv w:val="1"/>
      <w:marLeft w:val="0"/>
      <w:marRight w:val="0"/>
      <w:marTop w:val="0"/>
      <w:marBottom w:val="0"/>
      <w:divBdr>
        <w:top w:val="none" w:sz="0" w:space="0" w:color="auto"/>
        <w:left w:val="none" w:sz="0" w:space="0" w:color="auto"/>
        <w:bottom w:val="none" w:sz="0" w:space="0" w:color="auto"/>
        <w:right w:val="none" w:sz="0" w:space="0" w:color="auto"/>
      </w:divBdr>
      <w:divsChild>
        <w:div w:id="591007288">
          <w:marLeft w:val="547"/>
          <w:marRight w:val="0"/>
          <w:marTop w:val="96"/>
          <w:marBottom w:val="0"/>
          <w:divBdr>
            <w:top w:val="none" w:sz="0" w:space="0" w:color="auto"/>
            <w:left w:val="none" w:sz="0" w:space="0" w:color="auto"/>
            <w:bottom w:val="none" w:sz="0" w:space="0" w:color="auto"/>
            <w:right w:val="none" w:sz="0" w:space="0" w:color="auto"/>
          </w:divBdr>
        </w:div>
        <w:div w:id="704864314">
          <w:marLeft w:val="547"/>
          <w:marRight w:val="0"/>
          <w:marTop w:val="96"/>
          <w:marBottom w:val="0"/>
          <w:divBdr>
            <w:top w:val="none" w:sz="0" w:space="0" w:color="auto"/>
            <w:left w:val="none" w:sz="0" w:space="0" w:color="auto"/>
            <w:bottom w:val="none" w:sz="0" w:space="0" w:color="auto"/>
            <w:right w:val="none" w:sz="0" w:space="0" w:color="auto"/>
          </w:divBdr>
        </w:div>
      </w:divsChild>
    </w:div>
    <w:div w:id="395399835">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35028334">
      <w:bodyDiv w:val="1"/>
      <w:marLeft w:val="0"/>
      <w:marRight w:val="0"/>
      <w:marTop w:val="0"/>
      <w:marBottom w:val="0"/>
      <w:divBdr>
        <w:top w:val="none" w:sz="0" w:space="0" w:color="auto"/>
        <w:left w:val="none" w:sz="0" w:space="0" w:color="auto"/>
        <w:bottom w:val="none" w:sz="0" w:space="0" w:color="auto"/>
        <w:right w:val="none" w:sz="0" w:space="0" w:color="auto"/>
      </w:divBdr>
    </w:div>
    <w:div w:id="543639752">
      <w:bodyDiv w:val="1"/>
      <w:marLeft w:val="0"/>
      <w:marRight w:val="0"/>
      <w:marTop w:val="0"/>
      <w:marBottom w:val="0"/>
      <w:divBdr>
        <w:top w:val="none" w:sz="0" w:space="0" w:color="auto"/>
        <w:left w:val="none" w:sz="0" w:space="0" w:color="auto"/>
        <w:bottom w:val="none" w:sz="0" w:space="0" w:color="auto"/>
        <w:right w:val="none" w:sz="0" w:space="0" w:color="auto"/>
      </w:divBdr>
    </w:div>
    <w:div w:id="549806775">
      <w:bodyDiv w:val="1"/>
      <w:marLeft w:val="0"/>
      <w:marRight w:val="0"/>
      <w:marTop w:val="0"/>
      <w:marBottom w:val="0"/>
      <w:divBdr>
        <w:top w:val="none" w:sz="0" w:space="0" w:color="auto"/>
        <w:left w:val="none" w:sz="0" w:space="0" w:color="auto"/>
        <w:bottom w:val="none" w:sz="0" w:space="0" w:color="auto"/>
        <w:right w:val="none" w:sz="0" w:space="0" w:color="auto"/>
      </w:divBdr>
    </w:div>
    <w:div w:id="639771850">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764228985">
      <w:bodyDiv w:val="1"/>
      <w:marLeft w:val="0"/>
      <w:marRight w:val="0"/>
      <w:marTop w:val="0"/>
      <w:marBottom w:val="0"/>
      <w:divBdr>
        <w:top w:val="none" w:sz="0" w:space="0" w:color="auto"/>
        <w:left w:val="none" w:sz="0" w:space="0" w:color="auto"/>
        <w:bottom w:val="none" w:sz="0" w:space="0" w:color="auto"/>
        <w:right w:val="none" w:sz="0" w:space="0" w:color="auto"/>
      </w:divBdr>
    </w:div>
    <w:div w:id="801197354">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1028799380">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41996537">
      <w:bodyDiv w:val="1"/>
      <w:marLeft w:val="0"/>
      <w:marRight w:val="0"/>
      <w:marTop w:val="0"/>
      <w:marBottom w:val="0"/>
      <w:divBdr>
        <w:top w:val="none" w:sz="0" w:space="0" w:color="auto"/>
        <w:left w:val="none" w:sz="0" w:space="0" w:color="auto"/>
        <w:bottom w:val="none" w:sz="0" w:space="0" w:color="auto"/>
        <w:right w:val="none" w:sz="0" w:space="0" w:color="auto"/>
      </w:divBdr>
    </w:div>
    <w:div w:id="1162769100">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82689635">
      <w:bodyDiv w:val="1"/>
      <w:marLeft w:val="0"/>
      <w:marRight w:val="0"/>
      <w:marTop w:val="0"/>
      <w:marBottom w:val="0"/>
      <w:divBdr>
        <w:top w:val="none" w:sz="0" w:space="0" w:color="auto"/>
        <w:left w:val="none" w:sz="0" w:space="0" w:color="auto"/>
        <w:bottom w:val="none" w:sz="0" w:space="0" w:color="auto"/>
        <w:right w:val="none" w:sz="0" w:space="0" w:color="auto"/>
      </w:divBdr>
    </w:div>
    <w:div w:id="1293247636">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79276142">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50003196">
      <w:bodyDiv w:val="1"/>
      <w:marLeft w:val="0"/>
      <w:marRight w:val="0"/>
      <w:marTop w:val="0"/>
      <w:marBottom w:val="0"/>
      <w:divBdr>
        <w:top w:val="none" w:sz="0" w:space="0" w:color="auto"/>
        <w:left w:val="none" w:sz="0" w:space="0" w:color="auto"/>
        <w:bottom w:val="none" w:sz="0" w:space="0" w:color="auto"/>
        <w:right w:val="none" w:sz="0" w:space="0" w:color="auto"/>
      </w:divBdr>
    </w:div>
    <w:div w:id="1493715102">
      <w:bodyDiv w:val="1"/>
      <w:marLeft w:val="0"/>
      <w:marRight w:val="0"/>
      <w:marTop w:val="0"/>
      <w:marBottom w:val="0"/>
      <w:divBdr>
        <w:top w:val="none" w:sz="0" w:space="0" w:color="auto"/>
        <w:left w:val="none" w:sz="0" w:space="0" w:color="auto"/>
        <w:bottom w:val="none" w:sz="0" w:space="0" w:color="auto"/>
        <w:right w:val="none" w:sz="0" w:space="0" w:color="auto"/>
      </w:divBdr>
    </w:div>
    <w:div w:id="1495877005">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66935562">
      <w:bodyDiv w:val="1"/>
      <w:marLeft w:val="0"/>
      <w:marRight w:val="0"/>
      <w:marTop w:val="0"/>
      <w:marBottom w:val="0"/>
      <w:divBdr>
        <w:top w:val="none" w:sz="0" w:space="0" w:color="auto"/>
        <w:left w:val="none" w:sz="0" w:space="0" w:color="auto"/>
        <w:bottom w:val="none" w:sz="0" w:space="0" w:color="auto"/>
        <w:right w:val="none" w:sz="0" w:space="0" w:color="auto"/>
      </w:divBdr>
    </w:div>
    <w:div w:id="1672831776">
      <w:bodyDiv w:val="1"/>
      <w:marLeft w:val="0"/>
      <w:marRight w:val="0"/>
      <w:marTop w:val="0"/>
      <w:marBottom w:val="0"/>
      <w:divBdr>
        <w:top w:val="none" w:sz="0" w:space="0" w:color="auto"/>
        <w:left w:val="none" w:sz="0" w:space="0" w:color="auto"/>
        <w:bottom w:val="none" w:sz="0" w:space="0" w:color="auto"/>
        <w:right w:val="none" w:sz="0" w:space="0" w:color="auto"/>
      </w:divBdr>
    </w:div>
    <w:div w:id="1675187402">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764300522">
      <w:bodyDiv w:val="1"/>
      <w:marLeft w:val="0"/>
      <w:marRight w:val="0"/>
      <w:marTop w:val="0"/>
      <w:marBottom w:val="0"/>
      <w:divBdr>
        <w:top w:val="none" w:sz="0" w:space="0" w:color="auto"/>
        <w:left w:val="none" w:sz="0" w:space="0" w:color="auto"/>
        <w:bottom w:val="none" w:sz="0" w:space="0" w:color="auto"/>
        <w:right w:val="none" w:sz="0" w:space="0" w:color="auto"/>
      </w:divBdr>
    </w:div>
    <w:div w:id="1836796335">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 w:id="2055037698">
      <w:bodyDiv w:val="1"/>
      <w:marLeft w:val="0"/>
      <w:marRight w:val="0"/>
      <w:marTop w:val="0"/>
      <w:marBottom w:val="0"/>
      <w:divBdr>
        <w:top w:val="none" w:sz="0" w:space="0" w:color="auto"/>
        <w:left w:val="none" w:sz="0" w:space="0" w:color="auto"/>
        <w:bottom w:val="none" w:sz="0" w:space="0" w:color="auto"/>
        <w:right w:val="none" w:sz="0" w:space="0" w:color="auto"/>
      </w:divBdr>
    </w:div>
    <w:div w:id="2055301781">
      <w:bodyDiv w:val="1"/>
      <w:marLeft w:val="0"/>
      <w:marRight w:val="0"/>
      <w:marTop w:val="0"/>
      <w:marBottom w:val="0"/>
      <w:divBdr>
        <w:top w:val="none" w:sz="0" w:space="0" w:color="auto"/>
        <w:left w:val="none" w:sz="0" w:space="0" w:color="auto"/>
        <w:bottom w:val="none" w:sz="0" w:space="0" w:color="auto"/>
        <w:right w:val="none" w:sz="0" w:space="0" w:color="auto"/>
      </w:divBdr>
    </w:div>
    <w:div w:id="208479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6566-6E61-4ED7-9A6E-FD265682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F07B6C3C</Template>
  <TotalTime>78</TotalTime>
  <Pages>24</Pages>
  <Words>8465</Words>
  <Characters>44893</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53252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sclaridge</cp:lastModifiedBy>
  <cp:revision>8</cp:revision>
  <cp:lastPrinted>2016-12-07T14:58:00Z</cp:lastPrinted>
  <dcterms:created xsi:type="dcterms:W3CDTF">2016-12-07T11:32:00Z</dcterms:created>
  <dcterms:modified xsi:type="dcterms:W3CDTF">2016-12-07T18:10:00Z</dcterms:modified>
</cp:coreProperties>
</file>